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年省新旧动能转换优选项目名单</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（枣庄市）</w:t>
      </w:r>
    </w:p>
    <w:tbl>
      <w:tblPr>
        <w:tblStyle w:val="5"/>
        <w:tblpPr w:leftFromText="180" w:rightFromText="180" w:vertAnchor="text" w:horzAnchor="page" w:tblpX="1533" w:tblpY="556"/>
        <w:tblOverlap w:val="never"/>
        <w:tblW w:w="98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
        <w:gridCol w:w="4215"/>
        <w:gridCol w:w="495"/>
        <w:gridCol w:w="4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995"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黑体" w:hAnsi="黑体" w:eastAsia="黑体" w:cs="黑体"/>
                <w:i w:val="0"/>
                <w:color w:val="000000"/>
                <w:kern w:val="0"/>
                <w:sz w:val="32"/>
                <w:szCs w:val="32"/>
                <w:u w:val="none"/>
                <w:lang w:val="en-US" w:eastAsia="zh-CN" w:bidi="ar"/>
              </w:rPr>
              <w:t>一、新一代信息技术</w:t>
            </w:r>
          </w:p>
        </w:tc>
        <w:tc>
          <w:tcPr>
            <w:tcW w:w="495" w:type="dxa"/>
            <w:noWrap/>
            <w:vAlign w:val="center"/>
          </w:tcPr>
          <w:p>
            <w:pPr>
              <w:rPr>
                <w:rFonts w:hint="eastAsia" w:ascii="宋体" w:hAnsi="宋体" w:eastAsia="宋体" w:cs="宋体"/>
                <w:i w:val="0"/>
                <w:color w:val="000000"/>
                <w:sz w:val="32"/>
                <w:szCs w:val="32"/>
                <w:u w:val="none"/>
              </w:rPr>
            </w:pPr>
          </w:p>
        </w:tc>
        <w:tc>
          <w:tcPr>
            <w:tcW w:w="4334" w:type="dxa"/>
            <w:noWrap/>
            <w:vAlign w:val="center"/>
          </w:tcPr>
          <w:p>
            <w:pPr>
              <w:rPr>
                <w:rFonts w:hint="eastAsia" w:ascii="宋体" w:hAnsi="宋体" w:eastAsia="宋体" w:cs="宋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山东汉芯科技有限公司高精度传感器设计制造、先进封装技术应用及锂电池BMS制造项目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（年产压力传感器封装产品6000万件、高精度温度传感器及热敏电阻9500万件）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1"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山东智谷建设有限责任公司淮海数字智谷项目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（建设大数据客厅、众包众创基地、高端互联网后台运营总部，总建筑面积12.6万平方米）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3</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维宏感应（山东）科技有限公司高精度温度传感器及热敏电阻研发设计与制造建设项目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（建设温度传感器及热敏电阻生产线15条，年产30000KPCS）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4</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杭州气味王国科技有限公司枣庄市山亭区中国嗅谷项目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（建设中国数字嗅觉专项研发中心、成果转化中心、数字嗅觉产品展示中心等，总建筑面积2万平方米）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5</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山东韦地科技有限公司山东韦地科技示范园区项目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（建设生产车间、专家楼、运维中心等，总建筑面积2万平方米）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4995"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二、高端装备</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jc w:val="left"/>
              <w:rPr>
                <w:rFonts w:hint="eastAsia" w:ascii="楷体_GB2312" w:hAnsi="楷体_GB2312" w:eastAsia="楷体_GB2312" w:cs="楷体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6</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博雷顿（山东）新能源汽车有限公司新能源电动装载机项目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（年产纯电动装载机5000台）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7</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伊德贝尔智家科技中心项目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（年产智能生活家电产品及配件500万台（套）、电子电路控制板600万件、自动化控制设备2000台）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8</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山东海鲲数控设备有限公司高档数控机床与工业机器人建设项目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（年产高档数控机床1600台、工业机器人200台）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9</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上海易矩汽车技术有限公司易矩双电机混合动力系统项目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（年产双电机混合动力系统25000套）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10</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山东百特电器有限公司年产370万台智能小家电项目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（年产智能小家电370万台）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11</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山东紫东科技发展有限公司紫东工业园项目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（建设高标准厂房及综合服务办公楼，总建筑面积14.8万平方米）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4995"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三、新能源</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jc w:val="left"/>
              <w:rPr>
                <w:rFonts w:hint="eastAsia" w:ascii="楷体_GB2312" w:hAnsi="楷体_GB2312" w:eastAsia="楷体_GB2312" w:cs="楷体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12</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山东天润新能源材料有限公司年产3万吨锂离子电池电解液及电池配件项目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（年产锂离子电池电解液及电池配件3万吨）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4995"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四、新材料</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jc w:val="left"/>
              <w:rPr>
                <w:rFonts w:hint="eastAsia" w:ascii="楷体_GB2312" w:hAnsi="楷体_GB2312" w:eastAsia="楷体_GB2312" w:cs="楷体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13</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山东连银山环保建材有限公司新型轻质混凝土板材生产及增强纤维板深加工生产线建设项目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（年产ALC板60万立方米）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14</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孟玄新材料有限公司年产5万吨醋酐、4000吨可降解醋酸纤维素无纺布、5000吨可降解醋酸纤维素薄膜项目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（年产醋酐5万吨、可降解醋酸纤维素无纺布4000吨、可降解醋酸纤维素薄膜5000吨）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15</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阿纳（山东）新材料有限公司建筑装配新材料项目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（建设建筑装配新材料全自动生产线2条，总建筑面积12万平方米）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6"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16</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山东天衢铝业有限公司天衢铝业高端制造产业园项目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（建设10万吨工业铝型材生产线1条、120万平方米铝单板生产线一条，总建筑面积10万平方米）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95"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五、医养健康</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jc w:val="left"/>
              <w:rPr>
                <w:rFonts w:hint="eastAsia" w:ascii="楷体_GB2312" w:hAnsi="楷体_GB2312" w:eastAsia="楷体_GB2312" w:cs="楷体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17</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山东茁彼母婴用品有限公司爱朵(国际)研发中心及智能制造产业基地建设项目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（年产护理用品15亿片）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18</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山东养力多生物科技有限公司乳酸菌饮料生产项目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（年产乳酸菌饮料20万吨）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2"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19</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枣庄高新投资集团有限公司新医药产业园建设项目（二期）</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（建设高标准厂房、综合服务办公楼等，总建筑面积29.2万平方米）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爱拉森医用品有限公司高档非织造布、医用品及母婴用品生产项目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（建设研发中心2栋，无菌生产车间2栋、仓储中心4栋，总建筑面积14.3万平方米）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995" w:type="dxa"/>
            <w:gridSpan w:val="2"/>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六、现代高效农业</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jc w:val="left"/>
              <w:rPr>
                <w:rFonts w:hint="eastAsia" w:ascii="楷体_GB2312" w:hAnsi="楷体_GB2312" w:eastAsia="楷体_GB2312" w:cs="楷体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21</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枣庄农科投资有限公司中能化山东农业科技城项目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（建设中药材生产研发基地、中能化华东区总部及研发中心，总建筑面积29万平方米）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22</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山东滕阳里龙田茶农业发展有限公司滕阳里龙田茶休闲文旅建设项目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（建设茶文化博物馆、传统茶艺馆、茶文化综合展示培训中心，总建筑面积4600平方米）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23</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枣庄华宝牧业开发有限公司年屠宰6000万只肉鸡加工项目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（建设屠宰车间、肉制品加工车间等，总建筑面积4万平方米）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4995"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七、精品旅游</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jc w:val="left"/>
              <w:rPr>
                <w:rFonts w:hint="eastAsia" w:ascii="楷体_GB2312" w:hAnsi="楷体_GB2312" w:eastAsia="楷体_GB2312" w:cs="楷体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24</w:t>
            </w:r>
          </w:p>
        </w:tc>
        <w:tc>
          <w:tcPr>
            <w:tcW w:w="421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枣庄晟地置业有限公司薛城区留园山庄建设项目</w:t>
            </w:r>
          </w:p>
        </w:tc>
        <w:tc>
          <w:tcPr>
            <w:tcW w:w="495" w:type="dxa"/>
            <w:noWrap w:val="0"/>
            <w:vAlign w:val="center"/>
          </w:tcPr>
          <w:p>
            <w:pPr>
              <w:jc w:val="left"/>
              <w:rPr>
                <w:rFonts w:hint="eastAsia" w:ascii="宋体" w:hAnsi="宋体" w:eastAsia="宋体" w:cs="宋体"/>
                <w:i w:val="0"/>
                <w:color w:val="000000"/>
                <w:sz w:val="32"/>
                <w:szCs w:val="32"/>
                <w:u w:val="none"/>
              </w:rPr>
            </w:pPr>
          </w:p>
        </w:tc>
        <w:tc>
          <w:tcPr>
            <w:tcW w:w="4334" w:type="dxa"/>
            <w:noWrap w:val="0"/>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（建设餐饮娱乐、酒店住宿、民宿康养等，总建筑面积8.1万平方米）</w:t>
            </w:r>
          </w:p>
        </w:tc>
      </w:tr>
    </w:tbl>
    <w:p>
      <w:pPr>
        <w:widowControl/>
        <w:spacing w:line="560" w:lineRule="exact"/>
        <w:ind w:firstLine="0" w:firstLineChars="0"/>
        <w:jc w:val="center"/>
        <w:rPr>
          <w:rFonts w:ascii="华文中宋" w:hAnsi="华文中宋" w:eastAsia="华文中宋" w:cs="Times New Roman"/>
          <w:sz w:val="44"/>
          <w:szCs w:val="44"/>
        </w:rPr>
      </w:pPr>
    </w:p>
    <w:p>
      <w:pPr>
        <w:spacing w:line="580" w:lineRule="exact"/>
        <w:ind w:right="320"/>
        <w:jc w:val="left"/>
        <w:rPr>
          <w:rFonts w:hint="eastAsia" w:asci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rtlGutter w:val="0"/>
          <w:docGrid w:type="lines"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2</w:t>
    </w:r>
    <w: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E6203"/>
    <w:rsid w:val="3BF159A9"/>
    <w:rsid w:val="5BE11BDE"/>
    <w:rsid w:val="5F1E6203"/>
    <w:rsid w:val="6F85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pPr>
      <w:spacing w:line="240" w:lineRule="auto"/>
    </w:pPr>
    <w:rPr>
      <w:rFonts w:ascii="Times New Roman" w:hAnsi="Times New Roman"/>
      <w:kern w:val="0"/>
      <w:sz w:val="18"/>
      <w:szCs w:val="18"/>
    </w:rPr>
  </w:style>
  <w:style w:type="paragraph" w:styleId="3">
    <w:name w:val="footer"/>
    <w:basedOn w:val="1"/>
    <w:qFormat/>
    <w:uiPriority w:val="0"/>
    <w:pPr>
      <w:widowControl/>
      <w:tabs>
        <w:tab w:val="center" w:pos="4153"/>
        <w:tab w:val="right" w:pos="8306"/>
      </w:tabs>
      <w:snapToGrid w:val="0"/>
      <w:spacing w:line="240" w:lineRule="atLeast"/>
      <w:ind w:firstLine="200" w:firstLineChars="200"/>
      <w:jc w:val="left"/>
    </w:pPr>
    <w:rPr>
      <w:rFonts w:ascii="仿宋_GB2312" w:hAnsi="Times New Roman" w:eastAsia="仿宋_GB2312" w:cs="Times New Roman"/>
      <w:sz w:val="18"/>
      <w:szCs w:val="18"/>
    </w:rPr>
  </w:style>
  <w:style w:type="paragraph" w:styleId="4">
    <w:name w:val="header"/>
    <w:basedOn w:val="1"/>
    <w:qFormat/>
    <w:uiPriority w:val="0"/>
    <w:pPr>
      <w:widowControl/>
      <w:pBdr>
        <w:bottom w:val="single" w:color="auto" w:sz="6" w:space="1"/>
      </w:pBdr>
      <w:tabs>
        <w:tab w:val="center" w:pos="4153"/>
        <w:tab w:val="right" w:pos="8306"/>
      </w:tabs>
      <w:snapToGrid w:val="0"/>
      <w:spacing w:line="240" w:lineRule="atLeast"/>
      <w:ind w:firstLine="200" w:firstLineChars="200"/>
      <w:jc w:val="center"/>
    </w:pPr>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2021-03-29T08:33:00Z</dcterms:created>
  <dc:creator>静_雯</dc:creator>
  <cp:lastModifiedBy>静_雯</cp:lastModifiedBy>
  <cp:lastPrinted>2021-03-30T01:23:00Z</cp:lastPrinted>
  <dcterms:modified xsi:type="dcterms:W3CDTF">2021-04-06T06:02:10Z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BB86AF6C467244DAB23374E7D22C94EB</vt:lpwstr>
  </property>
  <property fmtid="{D5CDD505-2E9C-101B-9397-08002B2CF9AE}" pid="4" name="KSOSaveFontToCloudKey">
    <vt:lpwstr>252298375_stopsync</vt:lpwstr>
  </property>
</Properties>
</file>