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bidi="ar"/>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bidi="ar"/>
          <w14:textFill>
            <w14:solidFill>
              <w14:schemeClr w14:val="tx1"/>
            </w14:solidFill>
          </w14:textFill>
        </w:rPr>
        <w:t>枣庄市民营经济发展促进条例（</w:t>
      </w:r>
      <w:r>
        <w:rPr>
          <w:rFonts w:hint="eastAsia" w:ascii="方正小标宋简体" w:hAnsi="方正小标宋简体" w:eastAsia="方正小标宋简体" w:cs="方正小标宋简体"/>
          <w:color w:val="000000" w:themeColor="text1"/>
          <w:sz w:val="44"/>
          <w:szCs w:val="44"/>
          <w:highlight w:val="none"/>
          <w:lang w:val="en-US" w:eastAsia="zh-CN" w:bidi="ar"/>
          <w14:textFill>
            <w14:solidFill>
              <w14:schemeClr w14:val="tx1"/>
            </w14:solidFill>
          </w14:textFill>
        </w:rPr>
        <w:t>草案</w:t>
      </w:r>
      <w:r>
        <w:rPr>
          <w:rFonts w:hint="eastAsia" w:ascii="方正小标宋简体" w:hAnsi="方正小标宋简体" w:eastAsia="方正小标宋简体" w:cs="方正小标宋简体"/>
          <w:color w:val="000000" w:themeColor="text1"/>
          <w:sz w:val="44"/>
          <w:szCs w:val="44"/>
          <w:highlight w:val="none"/>
          <w:lang w:bidi="ar"/>
          <w14:textFill>
            <w14:solidFill>
              <w14:schemeClr w14:val="tx1"/>
            </w14:solidFill>
          </w14:textFill>
        </w:rPr>
        <w:t>）</w:t>
      </w:r>
    </w:p>
    <w:p>
      <w:pPr>
        <w:jc w:val="cente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征求意见稿</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目</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　</w:t>
      </w:r>
      <w:r>
        <w:rPr>
          <w:rFonts w:hint="eastAsia" w:ascii="楷体_GB2312" w:hAnsi="楷体_GB2312" w:eastAsia="楷体_GB2312" w:cs="楷体_GB2312"/>
          <w:color w:val="000000" w:themeColor="text1"/>
          <w:sz w:val="32"/>
          <w:szCs w:val="32"/>
          <w:highlight w:val="none"/>
          <w14:textFill>
            <w14:solidFill>
              <w14:schemeClr w14:val="tx1"/>
            </w14:solidFill>
          </w14:textFill>
        </w:rPr>
        <w:t>录</w:t>
      </w:r>
    </w:p>
    <w:p>
      <w:pPr>
        <w:pStyle w:val="3"/>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第一章</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　</w:t>
      </w:r>
      <w:r>
        <w:rPr>
          <w:rFonts w:hint="eastAsia" w:ascii="楷体_GB2312" w:hAnsi="楷体_GB2312" w:eastAsia="楷体_GB2312" w:cs="楷体_GB2312"/>
          <w:color w:val="000000" w:themeColor="text1"/>
          <w:sz w:val="32"/>
          <w:szCs w:val="32"/>
          <w:highlight w:val="none"/>
          <w14:textFill>
            <w14:solidFill>
              <w14:schemeClr w14:val="tx1"/>
            </w14:solidFill>
          </w14:textFill>
        </w:rPr>
        <w:t>总则</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第二章</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　</w:t>
      </w:r>
      <w:r>
        <w:rPr>
          <w:rFonts w:hint="eastAsia" w:ascii="楷体_GB2312" w:hAnsi="楷体_GB2312" w:eastAsia="楷体_GB2312" w:cs="楷体_GB2312"/>
          <w:color w:val="000000" w:themeColor="text1"/>
          <w:sz w:val="32"/>
          <w:szCs w:val="32"/>
          <w:highlight w:val="none"/>
          <w14:textFill>
            <w14:solidFill>
              <w14:schemeClr w14:val="tx1"/>
            </w14:solidFill>
          </w14:textFill>
        </w:rPr>
        <w:t>公平竞争</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第三章</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　</w:t>
      </w:r>
      <w:r>
        <w:rPr>
          <w:rFonts w:hint="eastAsia" w:ascii="楷体_GB2312" w:hAnsi="楷体_GB2312" w:eastAsia="楷体_GB2312" w:cs="楷体_GB2312"/>
          <w:color w:val="000000" w:themeColor="text1"/>
          <w:sz w:val="32"/>
          <w:szCs w:val="32"/>
          <w:highlight w:val="none"/>
          <w14:textFill>
            <w14:solidFill>
              <w14:schemeClr w14:val="tx1"/>
            </w14:solidFill>
          </w14:textFill>
        </w:rPr>
        <w:t>投资融资促进</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第四章</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　</w:t>
      </w:r>
      <w:r>
        <w:rPr>
          <w:rFonts w:hint="eastAsia" w:ascii="楷体_GB2312" w:hAnsi="楷体_GB2312" w:eastAsia="楷体_GB2312" w:cs="楷体_GB2312"/>
          <w:color w:val="000000" w:themeColor="text1"/>
          <w:sz w:val="32"/>
          <w:szCs w:val="32"/>
          <w:highlight w:val="none"/>
          <w14:textFill>
            <w14:solidFill>
              <w14:schemeClr w14:val="tx1"/>
            </w14:solidFill>
          </w14:textFill>
        </w:rPr>
        <w:t>创新发展</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第五章</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　</w:t>
      </w:r>
      <w:r>
        <w:rPr>
          <w:rFonts w:hint="eastAsia" w:ascii="楷体_GB2312" w:hAnsi="楷体_GB2312" w:eastAsia="楷体_GB2312" w:cs="楷体_GB2312"/>
          <w:color w:val="000000" w:themeColor="text1"/>
          <w:sz w:val="32"/>
          <w:szCs w:val="32"/>
          <w:highlight w:val="none"/>
          <w14:textFill>
            <w14:solidFill>
              <w14:schemeClr w14:val="tx1"/>
            </w14:solidFill>
          </w14:textFill>
        </w:rPr>
        <w:t>权益保护</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第六章</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　</w:t>
      </w:r>
      <w:r>
        <w:rPr>
          <w:rFonts w:hint="eastAsia" w:ascii="楷体_GB2312" w:hAnsi="楷体_GB2312" w:eastAsia="楷体_GB2312" w:cs="楷体_GB2312"/>
          <w:color w:val="000000" w:themeColor="text1"/>
          <w:sz w:val="32"/>
          <w:szCs w:val="32"/>
          <w:highlight w:val="none"/>
          <w14:textFill>
            <w14:solidFill>
              <w14:schemeClr w14:val="tx1"/>
            </w14:solidFill>
          </w14:textFill>
        </w:rPr>
        <w:t>服务保障</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第七章</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　</w:t>
      </w:r>
      <w:r>
        <w:rPr>
          <w:rFonts w:hint="eastAsia" w:ascii="楷体_GB2312" w:hAnsi="楷体_GB2312" w:eastAsia="楷体_GB2312" w:cs="楷体_GB2312"/>
          <w:color w:val="000000" w:themeColor="text1"/>
          <w:sz w:val="32"/>
          <w:szCs w:val="32"/>
          <w:highlight w:val="none"/>
          <w14:textFill>
            <w14:solidFill>
              <w14:schemeClr w14:val="tx1"/>
            </w14:solidFill>
          </w14:textFill>
        </w:rPr>
        <w:t>附则</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黑体"/>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第一章</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黑体"/>
          <w:color w:val="000000" w:themeColor="text1"/>
          <w:sz w:val="32"/>
          <w:szCs w:val="32"/>
          <w:highlight w:val="none"/>
          <w14:textFill>
            <w14:solidFill>
              <w14:schemeClr w14:val="tx1"/>
            </w14:solidFill>
          </w14:textFill>
        </w:rPr>
        <w:t>总则</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第一条【立法目的】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为了优化民营经济发展环境，保障</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各类经济组织</w:t>
      </w:r>
      <w:r>
        <w:rPr>
          <w:rFonts w:hint="eastAsia" w:ascii="Times New Roman" w:hAnsi="Times New Roman" w:eastAsia="仿宋_GB2312"/>
          <w:color w:val="000000" w:themeColor="text1"/>
          <w:sz w:val="32"/>
          <w:szCs w:val="32"/>
          <w:highlight w:val="none"/>
          <w14:textFill>
            <w14:solidFill>
              <w14:schemeClr w14:val="tx1"/>
            </w14:solidFill>
          </w14:textFill>
        </w:rPr>
        <w:t>公平参与市场竞争，激发民营经济内生动力和创新活力，促进民营经济高质量发展，根据《中华人民共和国民营经济促进法》《山东省民营经济促进条例》等法律</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法规，结合本市实际，制定本条例。</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第二条【适用范围】</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本市行政区域内促进民营经济发展</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及其相关活动</w:t>
      </w:r>
      <w:r>
        <w:rPr>
          <w:rFonts w:hint="eastAsia" w:ascii="Times New Roman" w:hAnsi="Times New Roman" w:eastAsia="仿宋_GB2312"/>
          <w:color w:val="000000" w:themeColor="text1"/>
          <w:sz w:val="32"/>
          <w:szCs w:val="32"/>
          <w:highlight w:val="none"/>
          <w14:textFill>
            <w14:solidFill>
              <w14:schemeClr w14:val="tx1"/>
            </w14:solidFill>
          </w14:textFill>
        </w:rPr>
        <w:t>，适用本条例。</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第三条【遵循原则】</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促进民营经济发展应当坚持平等对待、公平竞争、同等保护、共同发展的原则，依法鼓励、支持</w:t>
      </w:r>
      <w:r>
        <w:rPr>
          <w:rFonts w:hint="eastAsia" w:ascii="Times New Roman" w:hAnsi="Times New Roman" w:eastAsia="仿宋_GB2312"/>
          <w:color w:val="000000" w:themeColor="text1"/>
          <w:spacing w:val="9"/>
          <w:sz w:val="32"/>
          <w:szCs w:val="32"/>
          <w:highlight w:val="none"/>
          <w14:textFill>
            <w14:solidFill>
              <w14:schemeClr w14:val="tx1"/>
            </w14:solidFill>
          </w14:textFill>
        </w:rPr>
        <w:t>、引导民营经济发展，为民营经济营造稳定、公平、透明、可</w:t>
      </w:r>
      <w:r>
        <w:rPr>
          <w:rFonts w:hint="eastAsia" w:ascii="Times New Roman" w:hAnsi="Times New Roman" w:eastAsia="仿宋_GB2312"/>
          <w:color w:val="000000" w:themeColor="text1"/>
          <w:sz w:val="32"/>
          <w:szCs w:val="32"/>
          <w:highlight w:val="none"/>
          <w14:textFill>
            <w14:solidFill>
              <w14:schemeClr w14:val="tx1"/>
            </w14:solidFill>
          </w14:textFill>
        </w:rPr>
        <w:t>预期的发展环境。</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第四条【政府职责】</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市、区（市）人民政府应当加强对促进民营经济发展工作的组织领导，将促进民营经济发展工作纳入国民经济和社会发展规划，制定政策措施，完善服务保障体系，协调解决民营经济发展中的重大问题。</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发展改革部门负责统筹协调促进民营经济发展工作</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科学技术</w:t>
      </w:r>
      <w:r>
        <w:rPr>
          <w:rFonts w:hint="eastAsia" w:ascii="Times New Roman" w:hAnsi="Times New Roman" w:eastAsia="仿宋_GB2312"/>
          <w:color w:val="000000" w:themeColor="text1"/>
          <w:sz w:val="32"/>
          <w:szCs w:val="32"/>
          <w:highlight w:val="none"/>
          <w14:textFill>
            <w14:solidFill>
              <w14:schemeClr w14:val="tx1"/>
            </w14:solidFill>
          </w14:textFill>
        </w:rPr>
        <w:t>、工业和信息化、司法</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行政</w:t>
      </w:r>
      <w:r>
        <w:rPr>
          <w:rFonts w:hint="eastAsia" w:ascii="Times New Roman" w:hAnsi="Times New Roman" w:eastAsia="仿宋_GB2312"/>
          <w:color w:val="000000" w:themeColor="text1"/>
          <w:sz w:val="32"/>
          <w:szCs w:val="32"/>
          <w:highlight w:val="none"/>
          <w14:textFill>
            <w14:solidFill>
              <w14:schemeClr w14:val="tx1"/>
            </w14:solidFill>
          </w14:textFill>
        </w:rPr>
        <w:t>、财政、人力资源和社会保障、自然资源和规划、生态环境、住房和城乡建设、商务、</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行政</w:t>
      </w:r>
      <w:r>
        <w:rPr>
          <w:rFonts w:hint="eastAsia" w:ascii="Times New Roman" w:hAnsi="Times New Roman" w:eastAsia="仿宋_GB2312"/>
          <w:color w:val="000000" w:themeColor="text1"/>
          <w:sz w:val="32"/>
          <w:szCs w:val="32"/>
          <w:highlight w:val="none"/>
          <w14:textFill>
            <w14:solidFill>
              <w14:schemeClr w14:val="tx1"/>
            </w14:solidFill>
          </w14:textFill>
        </w:rPr>
        <w:t>审批服务、市场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监督管理</w:t>
      </w:r>
      <w:r>
        <w:rPr>
          <w:rFonts w:hint="eastAsia" w:ascii="Times New Roman" w:hAnsi="Times New Roman" w:eastAsia="仿宋_GB2312"/>
          <w:color w:val="000000" w:themeColor="text1"/>
          <w:sz w:val="32"/>
          <w:szCs w:val="32"/>
          <w:highlight w:val="none"/>
          <w14:textFill>
            <w14:solidFill>
              <w14:schemeClr w14:val="tx1"/>
            </w14:solidFill>
          </w14:textFill>
        </w:rPr>
        <w:t>等部门在各自职责范围内，</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做好</w:t>
      </w:r>
      <w:r>
        <w:rPr>
          <w:rFonts w:hint="eastAsia" w:ascii="Times New Roman" w:hAnsi="Times New Roman" w:eastAsia="仿宋_GB2312"/>
          <w:color w:val="000000" w:themeColor="text1"/>
          <w:sz w:val="32"/>
          <w:szCs w:val="32"/>
          <w:highlight w:val="none"/>
          <w14:textFill>
            <w14:solidFill>
              <w14:schemeClr w14:val="tx1"/>
            </w14:solidFill>
          </w14:textFill>
        </w:rPr>
        <w:t>促进民营经济发展相关工作。</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黑体"/>
          <w:color w:val="000000" w:themeColor="text1"/>
          <w:sz w:val="32"/>
          <w:szCs w:val="32"/>
          <w:highlight w:val="none"/>
          <w14:textFill>
            <w14:solidFill>
              <w14:schemeClr w14:val="tx1"/>
            </w14:solidFill>
          </w14:textFill>
        </w:rPr>
        <w:t>条【</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党的领导</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民营经济组织及其经营者应当拥护中国共产党</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14:textFill>
            <w14:solidFill>
              <w14:schemeClr w14:val="tx1"/>
            </w14:solidFill>
          </w14:textFill>
        </w:rPr>
        <w:t>领导，坚持中国特色社会主义制度</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；从事生产经营活动，应当遵守法律法规，遵守社会公德、商业道德，诚实守信、履行社会责任，保障劳动者合法权益，维护国家利益和社会公共利益，接受政府和社会监督。</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六</w:t>
      </w:r>
      <w:r>
        <w:rPr>
          <w:rFonts w:hint="eastAsia" w:ascii="Times New Roman" w:hAnsi="Times New Roman" w:eastAsia="黑体"/>
          <w:color w:val="000000" w:themeColor="text1"/>
          <w:sz w:val="32"/>
          <w:szCs w:val="32"/>
          <w:highlight w:val="none"/>
          <w14:textFill>
            <w14:solidFill>
              <w14:schemeClr w14:val="tx1"/>
            </w14:solidFill>
          </w14:textFill>
        </w:rPr>
        <w:t>条【引导培育】</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加强民营经济组织经营者队伍建设，培育和弘扬企业家精神，</w:t>
      </w:r>
      <w:r>
        <w:rPr>
          <w:rFonts w:hint="eastAsia" w:ascii="Times New Roman" w:hAnsi="Times New Roman" w:eastAsia="仿宋_GB2312"/>
          <w:color w:val="000000" w:themeColor="text1"/>
          <w:sz w:val="32"/>
          <w:szCs w:val="32"/>
          <w:highlight w:val="none"/>
          <w14:textFill>
            <w14:solidFill>
              <w14:schemeClr w14:val="tx1"/>
            </w14:solidFill>
          </w14:textFill>
        </w:rPr>
        <w:t>引导民营经济组织</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经营者</w:t>
      </w:r>
      <w:r>
        <w:rPr>
          <w:rFonts w:hint="eastAsia" w:ascii="Times New Roman" w:hAnsi="Times New Roman" w:eastAsia="仿宋_GB2312"/>
          <w:color w:val="000000" w:themeColor="text1"/>
          <w:sz w:val="32"/>
          <w:szCs w:val="32"/>
          <w:highlight w:val="none"/>
          <w14:textFill>
            <w14:solidFill>
              <w14:schemeClr w14:val="tx1"/>
            </w14:solidFill>
          </w14:textFill>
        </w:rPr>
        <w:t>践行社会主义核心价值观</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爱国敬业、守法经营、创业创新、回报社会</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七</w:t>
      </w:r>
      <w:r>
        <w:rPr>
          <w:rFonts w:hint="eastAsia" w:ascii="Times New Roman" w:hAnsi="Times New Roman" w:eastAsia="黑体"/>
          <w:color w:val="000000" w:themeColor="text1"/>
          <w:sz w:val="32"/>
          <w:szCs w:val="32"/>
          <w:highlight w:val="none"/>
          <w14:textFill>
            <w14:solidFill>
              <w14:schemeClr w14:val="tx1"/>
            </w14:solidFill>
          </w14:textFill>
        </w:rPr>
        <w:t>条【战略参与】</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引导、支持民营经济组织积极融入和服务黄河流域生态保护和高质量发展、</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鲁南经济圈一体化发展、</w:t>
      </w:r>
      <w:r>
        <w:rPr>
          <w:rFonts w:hint="eastAsia" w:ascii="Times New Roman" w:hAnsi="Times New Roman" w:eastAsia="仿宋_GB2312"/>
          <w:color w:val="000000" w:themeColor="text1"/>
          <w:sz w:val="32"/>
          <w:szCs w:val="32"/>
          <w:highlight w:val="none"/>
          <w14:textFill>
            <w14:solidFill>
              <w14:schemeClr w14:val="tx1"/>
            </w14:solidFill>
          </w14:textFill>
        </w:rPr>
        <w:t>绿色低碳高质量发展先行区建设</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深</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化与长三角、</w:t>
      </w:r>
      <w:r>
        <w:rPr>
          <w:rFonts w:hint="eastAsia" w:ascii="Times New Roman" w:hAnsi="Times New Roman" w:eastAsia="仿宋_GB2312"/>
          <w:color w:val="000000" w:themeColor="text1"/>
          <w:sz w:val="32"/>
          <w:szCs w:val="32"/>
          <w:highlight w:val="none"/>
          <w14:textFill>
            <w14:solidFill>
              <w14:schemeClr w14:val="tx1"/>
            </w14:solidFill>
          </w14:textFill>
        </w:rPr>
        <w:t>苏皖鲁豫省际交界地区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等重点地区战略合作，</w:t>
      </w:r>
      <w:r>
        <w:rPr>
          <w:rFonts w:hint="eastAsia" w:ascii="Times New Roman" w:hAnsi="Times New Roman" w:eastAsia="仿宋_GB2312"/>
          <w:color w:val="000000" w:themeColor="text1"/>
          <w:sz w:val="32"/>
          <w:szCs w:val="32"/>
          <w:highlight w:val="none"/>
          <w14:textFill>
            <w14:solidFill>
              <w14:schemeClr w14:val="tx1"/>
            </w14:solidFill>
          </w14:textFill>
        </w:rPr>
        <w:t>助力资源型城市绿色低碳转型发展引领市建设。</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八</w:t>
      </w:r>
      <w:r>
        <w:rPr>
          <w:rFonts w:hint="eastAsia" w:ascii="Times New Roman" w:hAnsi="Times New Roman" w:eastAsia="黑体"/>
          <w:color w:val="000000" w:themeColor="text1"/>
          <w:sz w:val="32"/>
          <w:szCs w:val="32"/>
          <w:highlight w:val="none"/>
          <w14:textFill>
            <w14:solidFill>
              <w14:schemeClr w14:val="tx1"/>
            </w14:solidFill>
          </w14:textFill>
        </w:rPr>
        <w:t>条【社会氛围】</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auto"/>
          <w:sz w:val="32"/>
          <w:szCs w:val="32"/>
          <w:highlight w:val="none"/>
          <w:lang w:val="en-US" w:eastAsia="zh-CN"/>
        </w:rPr>
        <w:t>新闻媒体应当积极宣传</w:t>
      </w:r>
      <w:r>
        <w:rPr>
          <w:rFonts w:hint="eastAsia" w:ascii="Times New Roman" w:hAnsi="Times New Roman" w:eastAsia="仿宋_GB2312"/>
          <w:color w:val="auto"/>
          <w:sz w:val="32"/>
          <w:szCs w:val="32"/>
          <w:highlight w:val="none"/>
        </w:rPr>
        <w:t>民营经济组织及其经营者创新创业典型事迹</w:t>
      </w:r>
      <w:r>
        <w:rPr>
          <w:rFonts w:hint="eastAsia" w:ascii="Times New Roman" w:hAnsi="Times New Roman" w:eastAsia="仿宋_GB2312"/>
          <w:color w:val="auto"/>
          <w:sz w:val="32"/>
          <w:szCs w:val="32"/>
          <w:highlight w:val="none"/>
          <w:lang w:eastAsia="zh-CN"/>
        </w:rPr>
        <w:t>，增强企业家的荣誉感和社会价值感</w:t>
      </w:r>
      <w:r>
        <w:rPr>
          <w:rFonts w:hint="eastAsia" w:ascii="Times New Roman" w:hAnsi="Times New Roman" w:eastAsia="仿宋_GB2312"/>
          <w:color w:val="auto"/>
          <w:sz w:val="32"/>
          <w:szCs w:val="32"/>
          <w:highlight w:val="none"/>
        </w:rPr>
        <w:t>，营造全社会关心、支持、促进民营经济发展的氛围</w:t>
      </w:r>
      <w:r>
        <w:rPr>
          <w:rFonts w:hint="eastAsia" w:ascii="Times New Roman" w:hAnsi="Times New Roman" w:eastAsia="仿宋_GB2312"/>
          <w:color w:val="auto"/>
          <w:sz w:val="32"/>
          <w:szCs w:val="32"/>
          <w:highlight w:val="none"/>
          <w:lang w:eastAsia="zh-CN"/>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九</w:t>
      </w:r>
      <w:r>
        <w:rPr>
          <w:rFonts w:hint="eastAsia" w:ascii="Times New Roman" w:hAnsi="Times New Roman" w:eastAsia="黑体"/>
          <w:color w:val="000000" w:themeColor="text1"/>
          <w:sz w:val="32"/>
          <w:szCs w:val="32"/>
          <w:highlight w:val="none"/>
          <w14:textFill>
            <w14:solidFill>
              <w14:schemeClr w14:val="tx1"/>
            </w14:solidFill>
          </w14:textFill>
        </w:rPr>
        <w:t>条【统计监测】</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统计部门应当会同有关部门建立健全民营经济统计监测制度，开展民营经济发展统计监测分析工作，及时准确反映民营经济发展状况，定期发布有关信息。</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黑体"/>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第二章</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黑体"/>
          <w:color w:val="000000" w:themeColor="text1"/>
          <w:sz w:val="32"/>
          <w:szCs w:val="32"/>
          <w:highlight w:val="none"/>
          <w14:textFill>
            <w14:solidFill>
              <w14:schemeClr w14:val="tx1"/>
            </w14:solidFill>
          </w14:textFill>
        </w:rPr>
        <w:t>公平竞争</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第十条【市场准入】</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市、区（市）人民政府</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应当</w:t>
      </w:r>
      <w:r>
        <w:rPr>
          <w:rFonts w:hint="eastAsia" w:ascii="Times New Roman" w:hAnsi="Times New Roman" w:eastAsia="仿宋_GB2312"/>
          <w:color w:val="000000" w:themeColor="text1"/>
          <w:sz w:val="32"/>
          <w:szCs w:val="32"/>
          <w:highlight w:val="none"/>
          <w14:textFill>
            <w14:solidFill>
              <w14:schemeClr w14:val="tx1"/>
            </w14:solidFill>
          </w14:textFill>
        </w:rPr>
        <w:t>保障</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包括</w:t>
      </w:r>
      <w:r>
        <w:rPr>
          <w:rFonts w:hint="eastAsia" w:ascii="Times New Roman" w:hAnsi="Times New Roman" w:eastAsia="仿宋_GB2312"/>
          <w:color w:val="000000" w:themeColor="text1"/>
          <w:sz w:val="32"/>
          <w:szCs w:val="32"/>
          <w:highlight w:val="none"/>
          <w14:textFill>
            <w14:solidFill>
              <w14:schemeClr w14:val="tx1"/>
            </w14:solidFill>
          </w14:textFill>
        </w:rPr>
        <w:t>民营经济组织在内的各类经济组织权利平等、机会平等、规则平等，保障民营经济组织公平参与市场竞争。</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严格</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落实</w:t>
      </w:r>
      <w:r>
        <w:rPr>
          <w:rFonts w:hint="eastAsia" w:ascii="Times New Roman" w:hAnsi="Times New Roman" w:eastAsia="仿宋_GB2312"/>
          <w:color w:val="000000" w:themeColor="text1"/>
          <w:sz w:val="32"/>
          <w:szCs w:val="32"/>
          <w:highlight w:val="none"/>
          <w14:textFill>
            <w14:solidFill>
              <w14:schemeClr w14:val="tx1"/>
            </w14:solidFill>
          </w14:textFill>
        </w:rPr>
        <w:t>全国统一的市场准入负面清单制度</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市场准入负面清单以外的领域，包括民营经济组织在内的各类经济组织可以依法平等进入。</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一</w:t>
      </w:r>
      <w:r>
        <w:rPr>
          <w:rFonts w:hint="eastAsia" w:ascii="Times New Roman" w:hAnsi="Times New Roman" w:eastAsia="黑体"/>
          <w:color w:val="000000" w:themeColor="text1"/>
          <w:sz w:val="32"/>
          <w:szCs w:val="32"/>
          <w:highlight w:val="none"/>
          <w14:textFill>
            <w14:solidFill>
              <w14:schemeClr w14:val="tx1"/>
            </w14:solidFill>
          </w14:textFill>
        </w:rPr>
        <w:t>条【公平竞争审查】</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市、区（市）人民政府及其有关部门制定产业发展、招商引资、政府采购、招标投标、资质标准等涉及经营主体生产经营活动的政策措施，</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应当</w:t>
      </w:r>
      <w:r>
        <w:rPr>
          <w:rFonts w:hint="eastAsia" w:ascii="Times New Roman" w:hAnsi="Times New Roman" w:eastAsia="仿宋_GB2312"/>
          <w:color w:val="000000" w:themeColor="text1"/>
          <w:sz w:val="32"/>
          <w:szCs w:val="32"/>
          <w:highlight w:val="none"/>
          <w14:textFill>
            <w14:solidFill>
              <w14:schemeClr w14:val="tx1"/>
            </w14:solidFill>
          </w14:textFill>
        </w:rPr>
        <w:t>履行公平竞争审查程序，未经审查不得出台</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市、区（市）</w:t>
      </w:r>
      <w:r>
        <w:rPr>
          <w:rFonts w:hint="eastAsia" w:ascii="Times New Roman" w:hAnsi="Times New Roman" w:eastAsia="仿宋_GB2312"/>
          <w:color w:val="000000" w:themeColor="text1"/>
          <w:sz w:val="32"/>
          <w:szCs w:val="32"/>
          <w:highlight w:val="none"/>
          <w14:textFill>
            <w14:solidFill>
              <w14:schemeClr w14:val="tx1"/>
            </w14:solidFill>
          </w14:textFill>
        </w:rPr>
        <w:t>人民政府及其有关部门应当适时对现行有效的政策措施进行评估和清理，对不适应经济社会发展要求、妨碍全国统一市场和公平竞争的规定及时修改或者废止，保障民营经济组织公平参与市场竞争。</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对违反公平竞争的政策措施，任何单位和个人可以向市场监督管理部门举报。市场监督管理部门接到举报后，应当及时处理或者转送有关部门处理。</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黑体"/>
          <w:color w:val="000000" w:themeColor="text1"/>
          <w:sz w:val="32"/>
          <w:szCs w:val="32"/>
          <w:highlight w:val="none"/>
          <w14:textFill>
            <w14:solidFill>
              <w14:schemeClr w14:val="tx1"/>
            </w14:solidFill>
          </w14:textFill>
        </w:rPr>
        <w:t>条【公共资源交易】</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招标投标、政府采购等公共资源交易活动应当公开透明、公平公正，依法平等对待包括民营经济组织在内的各类经济组织，除法律另有规定外，在公共资源交易活动中不得实施下列限制或者排斥民营经济组织的行为：</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（一）限定供应商、投标人的所有制形式、组织形式或者股权结构；</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（二）以在本地登记、注册或者设立分支机构等作为参与投标、政府采购活动的资格条件；</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（三）设定与项目具体特点和实际需要不相适应或者与合同履行无关的资格、技术、商务条件等；</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（四）通过设置不合理的项目库、名录库、备选库、资格库等作为参与投标、政府采购活动的资格条件；</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（五）设置或者变相设置与业务能力无关的规模、成立年限、银行授信证明和明显超过项目要求的业绩要求等门槛限制潜在供应商、投标人；</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（六）要求供应商、投标人购买指定软件和服务，作为参加电子化投标、政府采购活动的条件；</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（七）不依法及时、有效、完整发布或者差异化地提供招标投标、政府采购项目信息，妨碍供应商、投标人参与招标投标、政府采购活动；</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（八）对不同所有制供应商、投标人设置或者采用不同的信用评价指标；</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（九）其他违法限制或者排斥民营经济组织的行为。</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pacing w:val="9"/>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三</w:t>
      </w:r>
      <w:r>
        <w:rPr>
          <w:rFonts w:hint="eastAsia" w:ascii="Times New Roman" w:hAnsi="Times New Roman" w:eastAsia="黑体"/>
          <w:color w:val="000000" w:themeColor="text1"/>
          <w:sz w:val="32"/>
          <w:szCs w:val="32"/>
          <w:highlight w:val="none"/>
          <w14:textFill>
            <w14:solidFill>
              <w14:schemeClr w14:val="tx1"/>
            </w14:solidFill>
          </w14:textFill>
        </w:rPr>
        <w:t>条【</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平台建设</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14:textFill>
            <w14:solidFill>
              <w14:schemeClr w14:val="tx1"/>
            </w14:solidFill>
          </w14:textFill>
        </w:rPr>
        <w:t>公共资源交易管理部门应当加强公共资源交易平台建设，依法公开交易目录、程</w:t>
      </w:r>
      <w:r>
        <w:rPr>
          <w:rFonts w:hint="eastAsia" w:ascii="Times New Roman" w:hAnsi="Times New Roman" w:eastAsia="仿宋_GB2312"/>
          <w:color w:val="000000" w:themeColor="text1"/>
          <w:spacing w:val="9"/>
          <w:sz w:val="32"/>
          <w:szCs w:val="32"/>
          <w:highlight w:val="none"/>
          <w14:textFill>
            <w14:solidFill>
              <w14:schemeClr w14:val="tx1"/>
            </w14:solidFill>
          </w14:textFill>
        </w:rPr>
        <w:t>序、结果等信息，保障包括民营经济组织在内的各类经济组织及时获取有关信息并平等参与交易活动。</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第十四条【政府采购】</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政府采购的采购人应当通过落实为中小企业预留采购份额、价格评审优惠、优先采购等措施，支持民营经济组织中的中小企业参与政府采购。支持民营经济组织以联合体形式参与政府采购、招标投标活动。</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第十五条【平等参与】</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支持民营经济组织依法平等进入基础设施、公共服务和公用事业等领域参与投资建设和服务。支持民营经济组织参与政府和社会资本合作项目，项目应当合理设置双方权利义务，明确投资收益获得方式、风险分担机制、纠纷解决方式等事项，不得对民营经济组织设置不平等的条件。</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第十六条【要素</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保障</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市、区（市）人民政府</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及其</w:t>
      </w:r>
      <w:r>
        <w:rPr>
          <w:rFonts w:hint="eastAsia" w:ascii="Times New Roman" w:hAnsi="Times New Roman" w:eastAsia="仿宋_GB2312"/>
          <w:color w:val="000000" w:themeColor="text1"/>
          <w:sz w:val="32"/>
          <w:szCs w:val="32"/>
          <w:highlight w:val="none"/>
          <w14:textFill>
            <w14:solidFill>
              <w14:schemeClr w14:val="tx1"/>
            </w14:solidFill>
          </w14:textFill>
        </w:rPr>
        <w:t>有关部门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应当</w:t>
      </w:r>
      <w:r>
        <w:rPr>
          <w:rFonts w:hint="eastAsia" w:ascii="Times New Roman" w:hAnsi="Times New Roman" w:eastAsia="仿宋_GB2312"/>
          <w:color w:val="000000" w:themeColor="text1"/>
          <w:sz w:val="32"/>
          <w:szCs w:val="32"/>
          <w:highlight w:val="none"/>
          <w14:textFill>
            <w14:solidFill>
              <w14:schemeClr w14:val="tx1"/>
            </w14:solidFill>
          </w14:textFill>
        </w:rPr>
        <w:t>保障民营经济组织依法平等使用资金、技术、人力资源、数据、土地以及其他自然资源等各类生产要素和公共服务资源，依法平等适用国家、省、市支持发展的政策。</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第十七条【反垄断】</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市场监督管理部门应当按照职责权限预防和制止市场经济活动中的垄断行为、不正当竞争行为以及滥用行政权力排除、限制竞争的行为，对违法行为依法开展调查和处理，保障民营经济组织公平参与市场竞争。</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黑体"/>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第三章</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黑体"/>
          <w:color w:val="000000" w:themeColor="text1"/>
          <w:sz w:val="32"/>
          <w:szCs w:val="32"/>
          <w:highlight w:val="none"/>
          <w14:textFill>
            <w14:solidFill>
              <w14:schemeClr w14:val="tx1"/>
            </w14:solidFill>
          </w14:textFill>
        </w:rPr>
        <w:t>投资融资促进</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第十八条【民间投资】</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市、区（市）人民政府及其有关部门应当根据国家、省、市重大发展战略、发展规划、产业政策等，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研究制定促进民间投资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善民营经济组织参与重大项目建设长效机制，及时发布鼓励民营经济投资重大项目信息，加大向民营经济组织推介项目力度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，引导</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民营经济组织申报各类重点项目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九</w:t>
      </w:r>
      <w:r>
        <w:rPr>
          <w:rFonts w:hint="eastAsia" w:ascii="Times New Roman" w:hAnsi="Times New Roman" w:eastAsia="黑体"/>
          <w:color w:val="000000" w:themeColor="text1"/>
          <w:sz w:val="32"/>
          <w:szCs w:val="32"/>
          <w:highlight w:val="none"/>
          <w14:textFill>
            <w14:solidFill>
              <w14:schemeClr w14:val="tx1"/>
            </w14:solidFill>
          </w14:textFill>
        </w:rPr>
        <w:t>条【</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投资引导</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支持民营经济组织在新能源、化工新材料、高端装备、现代轻工等支柱产业，人工智能、低空经济、生物制造等新兴产业，现代服务业、现代农业等基础产业投资和创业，重点支持新技术、新产业、新业态、新模式民营经济组织的发展。</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支持民间资本</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重点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投向工业设计、共性技术服务、检验检测、质量认证、数字化转型等生产性服务业领域。</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二十</w:t>
      </w:r>
      <w:r>
        <w:rPr>
          <w:rFonts w:hint="eastAsia" w:ascii="Times New Roman" w:hAnsi="Times New Roman" w:eastAsia="黑体"/>
          <w:color w:val="000000" w:themeColor="text1"/>
          <w:sz w:val="32"/>
          <w:szCs w:val="32"/>
          <w:highlight w:val="none"/>
          <w14:textFill>
            <w14:solidFill>
              <w14:schemeClr w14:val="tx1"/>
            </w14:solidFill>
          </w14:textFill>
        </w:rPr>
        <w:t>条【国企协作】</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鼓励民营企业参与国有企业混合所有制改革，保障民营资本在混合所有制中的权益</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除国家规定应当由国有资本控股的领域外，民营资本可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以</w:t>
      </w:r>
      <w:r>
        <w:rPr>
          <w:rFonts w:hint="eastAsia" w:ascii="Times New Roman" w:hAnsi="Times New Roman" w:eastAsia="仿宋_GB2312"/>
          <w:color w:val="000000" w:themeColor="text1"/>
          <w:sz w:val="32"/>
          <w:szCs w:val="32"/>
          <w:highlight w:val="none"/>
          <w14:textFill>
            <w14:solidFill>
              <w14:schemeClr w14:val="tx1"/>
            </w14:solidFill>
          </w14:textFill>
        </w:rPr>
        <w:t>在混合所有制企业中控股。国有资产监督管理、财政等部门应当为民营企业参与</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混合所有制改革</w:t>
      </w:r>
      <w:r>
        <w:rPr>
          <w:rFonts w:hint="eastAsia" w:ascii="Times New Roman" w:hAnsi="Times New Roman" w:eastAsia="仿宋_GB2312"/>
          <w:color w:val="000000" w:themeColor="text1"/>
          <w:sz w:val="32"/>
          <w:szCs w:val="32"/>
          <w:highlight w:val="none"/>
          <w14:textFill>
            <w14:solidFill>
              <w14:schemeClr w14:val="tx1"/>
            </w14:solidFill>
          </w14:textFill>
        </w:rPr>
        <w:t>提供政策咨询和指导服务。</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楷体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二十一</w:t>
      </w:r>
      <w:r>
        <w:rPr>
          <w:rFonts w:hint="eastAsia" w:ascii="Times New Roman" w:hAnsi="Times New Roman" w:eastAsia="黑体"/>
          <w:color w:val="000000" w:themeColor="text1"/>
          <w:sz w:val="32"/>
          <w:szCs w:val="32"/>
          <w:highlight w:val="none"/>
          <w14:textFill>
            <w14:solidFill>
              <w14:schemeClr w14:val="tx1"/>
            </w14:solidFill>
          </w14:textFill>
        </w:rPr>
        <w:t>条【</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基础建设</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14:textFill>
            <w14:solidFill>
              <w14:schemeClr w14:val="tx1"/>
            </w14:solidFill>
          </w14:textFill>
        </w:rPr>
        <w:t>支持国有企业</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联合</w:t>
      </w:r>
      <w:r>
        <w:rPr>
          <w:rFonts w:hint="eastAsia" w:ascii="Times New Roman" w:hAnsi="Times New Roman" w:eastAsia="仿宋_GB2312"/>
          <w:color w:val="000000" w:themeColor="text1"/>
          <w:sz w:val="32"/>
          <w:szCs w:val="32"/>
          <w:highlight w:val="none"/>
          <w14:textFill>
            <w14:solidFill>
              <w14:schemeClr w14:val="tx1"/>
            </w14:solidFill>
          </w14:textFill>
        </w:rPr>
        <w:t>民营企业参与</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棚户区改造</w:t>
      </w:r>
      <w:r>
        <w:rPr>
          <w:rFonts w:hint="eastAsia" w:ascii="Times New Roman" w:hAnsi="Times New Roman" w:eastAsia="仿宋_GB2312"/>
          <w:color w:val="000000" w:themeColor="text1"/>
          <w:sz w:val="32"/>
          <w:szCs w:val="32"/>
          <w:highlight w:val="none"/>
          <w14:textFill>
            <w14:solidFill>
              <w14:schemeClr w14:val="tx1"/>
            </w14:solidFill>
          </w14:textFill>
        </w:rPr>
        <w:t>、城中村改造等城市更新。</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鼓励</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民营企业</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参与建设运营规模较小、具有盈利空间的城市基础设施领域新建项目。</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第二十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黑体"/>
          <w:color w:val="000000" w:themeColor="text1"/>
          <w:sz w:val="32"/>
          <w:szCs w:val="32"/>
          <w:highlight w:val="none"/>
          <w14:textFill>
            <w14:solidFill>
              <w14:schemeClr w14:val="tx1"/>
            </w14:solidFill>
          </w14:textFill>
        </w:rPr>
        <w:t>条【存量资产】</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支持民营经济组织通过产权交易、并购重组、不良资产收购处置等多种方式盘活存量资产，提高再投资能力，提升资产质量和效益。</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第二十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三</w:t>
      </w:r>
      <w:r>
        <w:rPr>
          <w:rFonts w:hint="eastAsia" w:ascii="Times New Roman" w:hAnsi="Times New Roman" w:eastAsia="黑体"/>
          <w:color w:val="000000" w:themeColor="text1"/>
          <w:sz w:val="32"/>
          <w:szCs w:val="32"/>
          <w:highlight w:val="none"/>
          <w14:textFill>
            <w14:solidFill>
              <w14:schemeClr w14:val="tx1"/>
            </w14:solidFill>
          </w14:textFill>
        </w:rPr>
        <w:t>条【融资服务】</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金融机构应当平等对待民营经济组织</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不得对民营经济组织在授信、信贷管理、风控管理、服务收费等方面设置歧视性规定，不得附加不合理条件，不得变相提高民营经济组织融资成本。</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金融机构违反与民营经济组织借款人的约定，单方面增加发放贷款条件、中止发放贷款或者提前收回贷款的，依法承担违约责任。</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第二十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四</w:t>
      </w:r>
      <w:r>
        <w:rPr>
          <w:rFonts w:hint="eastAsia" w:ascii="Times New Roman" w:hAnsi="Times New Roman" w:eastAsia="黑体"/>
          <w:color w:val="000000" w:themeColor="text1"/>
          <w:sz w:val="32"/>
          <w:szCs w:val="32"/>
          <w:highlight w:val="none"/>
          <w14:textFill>
            <w14:solidFill>
              <w14:schemeClr w14:val="tx1"/>
            </w14:solidFill>
          </w14:textFill>
        </w:rPr>
        <w:t>条【金融服务】</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金融监督管理部门</w:t>
      </w:r>
      <w:r>
        <w:rPr>
          <w:rFonts w:hint="eastAsia" w:ascii="Times New Roman" w:hAnsi="Times New Roman" w:eastAsia="仿宋_GB2312"/>
          <w:color w:val="000000" w:themeColor="text1"/>
          <w:sz w:val="32"/>
          <w:szCs w:val="32"/>
          <w:highlight w:val="none"/>
          <w14:textFill>
            <w14:solidFill>
              <w14:schemeClr w14:val="tx1"/>
            </w14:solidFill>
          </w14:textFill>
        </w:rPr>
        <w:t>应当建立</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健全</w:t>
      </w:r>
      <w:r>
        <w:rPr>
          <w:rFonts w:hint="eastAsia" w:ascii="Times New Roman" w:hAnsi="Times New Roman" w:eastAsia="仿宋_GB2312"/>
          <w:color w:val="000000" w:themeColor="text1"/>
          <w:sz w:val="32"/>
          <w:szCs w:val="32"/>
          <w:highlight w:val="none"/>
          <w14:textFill>
            <w14:solidFill>
              <w14:schemeClr w14:val="tx1"/>
            </w14:solidFill>
          </w14:textFill>
        </w:rPr>
        <w:t>民营企业金融直连服务机制，引导金融机构开展金融服务产品推介，及时发布信贷政策、金融产品、优惠政策等信息，鼓励金融机构开发以信用为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基础</w:t>
      </w:r>
      <w:r>
        <w:rPr>
          <w:rFonts w:hint="eastAsia" w:ascii="Times New Roman" w:hAnsi="Times New Roman" w:eastAsia="仿宋_GB2312"/>
          <w:color w:val="000000" w:themeColor="text1"/>
          <w:sz w:val="32"/>
          <w:szCs w:val="32"/>
          <w:highlight w:val="none"/>
          <w14:textFill>
            <w14:solidFill>
              <w14:schemeClr w14:val="tx1"/>
            </w14:solidFill>
          </w14:textFill>
        </w:rPr>
        <w:t>的新型金融产品，为资信良好的民营经济组织融资提供便利条件。</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市发展改革和金融监督管理部门应当</w:t>
      </w:r>
      <w:r>
        <w:rPr>
          <w:rFonts w:hint="eastAsia" w:ascii="Times New Roman" w:hAnsi="Times New Roman" w:eastAsia="仿宋_GB2312"/>
          <w:color w:val="000000" w:themeColor="text1"/>
          <w:sz w:val="32"/>
          <w:szCs w:val="32"/>
          <w:highlight w:val="none"/>
          <w14:textFill>
            <w14:solidFill>
              <w14:schemeClr w14:val="tx1"/>
            </w14:solidFill>
          </w14:textFill>
        </w:rPr>
        <w:t>建立</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健全</w:t>
      </w:r>
      <w:r>
        <w:rPr>
          <w:rFonts w:hint="eastAsia" w:ascii="Times New Roman" w:hAnsi="Times New Roman" w:eastAsia="仿宋_GB2312"/>
          <w:color w:val="000000" w:themeColor="text1"/>
          <w:sz w:val="32"/>
          <w:szCs w:val="32"/>
          <w:highlight w:val="none"/>
          <w14:textFill>
            <w14:solidFill>
              <w14:schemeClr w14:val="tx1"/>
            </w14:solidFill>
          </w14:textFill>
        </w:rPr>
        <w:t>民营企业新增贷款监测机制，定期发布</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民营企业贷款余额、贷款利率等情况</w:t>
      </w:r>
      <w:r>
        <w:rPr>
          <w:rFonts w:hint="eastAsia" w:ascii="Times New Roman" w:hAnsi="Times New Roman" w:eastAsia="仿宋_GB2312"/>
          <w:color w:val="000000" w:themeColor="text1"/>
          <w:sz w:val="32"/>
          <w:szCs w:val="32"/>
          <w:highlight w:val="none"/>
          <w14:textFill>
            <w14:solidFill>
              <w14:schemeClr w14:val="tx1"/>
            </w14:solidFill>
          </w14:textFill>
        </w:rPr>
        <w:t>，持续提升金融服务民营经济质效。</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第二十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黑体"/>
          <w:color w:val="000000" w:themeColor="text1"/>
          <w:sz w:val="32"/>
          <w:szCs w:val="32"/>
          <w:highlight w:val="none"/>
          <w14:textFill>
            <w14:solidFill>
              <w14:schemeClr w14:val="tx1"/>
            </w14:solidFill>
          </w14:textFill>
        </w:rPr>
        <w:t>条【信贷支持】</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深化政务数据共享应用，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发挥地方融资信用服务平台作用，</w:t>
      </w:r>
      <w:r>
        <w:rPr>
          <w:rFonts w:hint="eastAsia" w:ascii="Times New Roman" w:hAnsi="Times New Roman" w:eastAsia="仿宋_GB2312"/>
          <w:color w:val="000000" w:themeColor="text1"/>
          <w:sz w:val="32"/>
          <w:szCs w:val="32"/>
          <w:highlight w:val="none"/>
          <w14:textFill>
            <w14:solidFill>
              <w14:schemeClr w14:val="tx1"/>
            </w14:solidFill>
          </w14:textFill>
        </w:rPr>
        <w:t>推广“信易贷”等服务模式，为民</w:t>
      </w:r>
      <w:r>
        <w:rPr>
          <w:rFonts w:hint="eastAsia" w:ascii="Times New Roman" w:hAnsi="Times New Roman" w:eastAsia="仿宋_GB2312"/>
          <w:color w:val="000000" w:themeColor="text1"/>
          <w:spacing w:val="9"/>
          <w:sz w:val="32"/>
          <w:szCs w:val="32"/>
          <w:highlight w:val="none"/>
          <w14:textFill>
            <w14:solidFill>
              <w14:schemeClr w14:val="tx1"/>
            </w14:solidFill>
          </w14:textFill>
        </w:rPr>
        <w:t>营经济组织融资提供信用信息支撑。</w:t>
      </w:r>
      <w:r>
        <w:rPr>
          <w:rFonts w:hint="eastAsia" w:ascii="Times New Roman" w:hAnsi="Times New Roman" w:eastAsia="仿宋_GB2312"/>
          <w:color w:val="000000" w:themeColor="text1"/>
          <w:spacing w:val="9"/>
          <w:sz w:val="32"/>
          <w:szCs w:val="32"/>
          <w:highlight w:val="none"/>
          <w:lang w:val="en-US" w:eastAsia="zh-CN"/>
          <w14:textFill>
            <w14:solidFill>
              <w14:schemeClr w14:val="tx1"/>
            </w14:solidFill>
          </w14:textFill>
        </w:rPr>
        <w:t>鼓励</w:t>
      </w:r>
      <w:r>
        <w:rPr>
          <w:rFonts w:hint="eastAsia" w:ascii="Times New Roman" w:hAnsi="Times New Roman" w:eastAsia="仿宋_GB2312"/>
          <w:color w:val="000000" w:themeColor="text1"/>
          <w:spacing w:val="9"/>
          <w:sz w:val="32"/>
          <w:szCs w:val="32"/>
          <w:highlight w:val="none"/>
          <w14:textFill>
            <w14:solidFill>
              <w14:schemeClr w14:val="tx1"/>
            </w14:solidFill>
          </w14:textFill>
        </w:rPr>
        <w:t>金融机构依法拓展贷款抵押</w:t>
      </w:r>
      <w:r>
        <w:rPr>
          <w:rFonts w:hint="eastAsia" w:ascii="Times New Roman" w:hAnsi="Times New Roman" w:eastAsia="仿宋_GB2312"/>
          <w:color w:val="000000" w:themeColor="text1"/>
          <w:spacing w:val="9"/>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pacing w:val="9"/>
          <w:sz w:val="32"/>
          <w:szCs w:val="32"/>
          <w:highlight w:val="none"/>
          <w14:textFill>
            <w14:solidFill>
              <w14:schemeClr w14:val="tx1"/>
            </w14:solidFill>
          </w14:textFill>
        </w:rPr>
        <w:t>质押标的范围，为民营经济组织提供应收账款、仓单、股</w:t>
      </w:r>
      <w:r>
        <w:rPr>
          <w:rFonts w:hint="eastAsia" w:ascii="Times New Roman" w:hAnsi="Times New Roman" w:eastAsia="仿宋_GB2312"/>
          <w:color w:val="000000" w:themeColor="text1"/>
          <w:sz w:val="32"/>
          <w:szCs w:val="32"/>
          <w:highlight w:val="none"/>
          <w14:textFill>
            <w14:solidFill>
              <w14:schemeClr w14:val="tx1"/>
            </w14:solidFill>
          </w14:textFill>
        </w:rPr>
        <w:t>权、知识产权等权利质押贷款。</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金融监督管理部门</w:t>
      </w:r>
      <w:r>
        <w:rPr>
          <w:rFonts w:hint="eastAsia" w:ascii="Times New Roman" w:hAnsi="Times New Roman" w:eastAsia="仿宋_GB2312"/>
          <w:color w:val="000000" w:themeColor="text1"/>
          <w:sz w:val="32"/>
          <w:szCs w:val="32"/>
          <w:highlight w:val="none"/>
          <w14:textFill>
            <w14:solidFill>
              <w14:schemeClr w14:val="tx1"/>
            </w14:solidFill>
          </w14:textFill>
        </w:rPr>
        <w:t>应当会同有关部门完善应急转贷机制，构建应急转贷服务体系，吸引社会资本参与，为符合条件的民营经济组织提供应急转贷服务。</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第二十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六</w:t>
      </w:r>
      <w:r>
        <w:rPr>
          <w:rFonts w:hint="eastAsia" w:ascii="Times New Roman" w:hAnsi="Times New Roman" w:eastAsia="黑体"/>
          <w:color w:val="000000" w:themeColor="text1"/>
          <w:sz w:val="32"/>
          <w:szCs w:val="32"/>
          <w:highlight w:val="none"/>
          <w14:textFill>
            <w14:solidFill>
              <w14:schemeClr w14:val="tx1"/>
            </w14:solidFill>
          </w14:textFill>
        </w:rPr>
        <w:t>条【</w:t>
      </w:r>
      <w:r>
        <w:rPr>
          <w:rFonts w:hint="eastAsia" w:ascii="Times New Roman" w:hAnsi="Times New Roman" w:eastAsia="黑体"/>
          <w:color w:val="000000" w:themeColor="text1"/>
          <w:sz w:val="32"/>
          <w:szCs w:val="32"/>
          <w:highlight w:val="none"/>
          <w:lang w:eastAsia="zh-CN"/>
          <w14:textFill>
            <w14:solidFill>
              <w14:schemeClr w14:val="tx1"/>
            </w14:solidFill>
          </w14:textFill>
        </w:rPr>
        <w:t>基金支持</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积极培育政府引导基金、创业投资基金等耐心资本，鼓励投早、投小、投长期、投硬科技。支持政府投资基金</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重点</w:t>
      </w:r>
      <w:r>
        <w:rPr>
          <w:rFonts w:hint="eastAsia" w:ascii="Times New Roman" w:hAnsi="Times New Roman" w:eastAsia="仿宋_GB2312"/>
          <w:color w:val="000000" w:themeColor="text1"/>
          <w:sz w:val="32"/>
          <w:szCs w:val="32"/>
          <w:highlight w:val="none"/>
          <w14:textFill>
            <w14:solidFill>
              <w14:schemeClr w14:val="tx1"/>
            </w14:solidFill>
          </w14:textFill>
        </w:rPr>
        <w:t>投向种子期、初创期</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成长期</w:t>
      </w:r>
      <w:r>
        <w:rPr>
          <w:rFonts w:hint="eastAsia" w:ascii="Times New Roman" w:hAnsi="Times New Roman" w:eastAsia="仿宋_GB2312"/>
          <w:color w:val="000000" w:themeColor="text1"/>
          <w:sz w:val="32"/>
          <w:szCs w:val="32"/>
          <w:highlight w:val="none"/>
          <w14:textFill>
            <w14:solidFill>
              <w14:schemeClr w14:val="tx1"/>
            </w14:solidFill>
          </w14:textFill>
        </w:rPr>
        <w:t>科技</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创新企业及科技创新型产业项目</w:t>
      </w:r>
      <w:r>
        <w:rPr>
          <w:rFonts w:hint="eastAsia" w:ascii="Times New Roman" w:hAnsi="Times New Roman" w:eastAsia="仿宋_GB2312"/>
          <w:color w:val="000000" w:themeColor="text1"/>
          <w:sz w:val="32"/>
          <w:szCs w:val="32"/>
          <w:highlight w:val="none"/>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第二十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七</w:t>
      </w:r>
      <w:r>
        <w:rPr>
          <w:rFonts w:hint="eastAsia" w:ascii="Times New Roman" w:hAnsi="Times New Roman" w:eastAsia="黑体"/>
          <w:color w:val="000000" w:themeColor="text1"/>
          <w:sz w:val="32"/>
          <w:szCs w:val="32"/>
          <w:highlight w:val="none"/>
          <w14:textFill>
            <w14:solidFill>
              <w14:schemeClr w14:val="tx1"/>
            </w14:solidFill>
          </w14:textFill>
        </w:rPr>
        <w:t>条【财政支持】</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财政</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仿宋_GB2312"/>
          <w:color w:val="000000" w:themeColor="text1"/>
          <w:sz w:val="32"/>
          <w:szCs w:val="32"/>
          <w:highlight w:val="none"/>
          <w14:textFill>
            <w14:solidFill>
              <w14:schemeClr w14:val="tx1"/>
            </w14:solidFill>
          </w14:textFill>
        </w:rPr>
        <w:t>部门应当健全政府性融资担保体系，推进政府性融资担保业务扩面和产品创新，引导政府性融资担保机构减少或者取消抵押、质押等反担保要求。</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第二十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八</w:t>
      </w:r>
      <w:r>
        <w:rPr>
          <w:rFonts w:hint="eastAsia" w:ascii="Times New Roman" w:hAnsi="Times New Roman" w:eastAsia="黑体"/>
          <w:color w:val="000000" w:themeColor="text1"/>
          <w:sz w:val="32"/>
          <w:szCs w:val="32"/>
          <w:highlight w:val="none"/>
          <w14:textFill>
            <w14:solidFill>
              <w14:schemeClr w14:val="tx1"/>
            </w14:solidFill>
          </w14:textFill>
        </w:rPr>
        <w:t>条【直接融资】</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财政</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仿宋_GB2312"/>
          <w:color w:val="000000" w:themeColor="text1"/>
          <w:sz w:val="32"/>
          <w:szCs w:val="32"/>
          <w:highlight w:val="none"/>
          <w14:textFill>
            <w14:solidFill>
              <w14:schemeClr w14:val="tx1"/>
            </w14:solidFill>
          </w14:textFill>
        </w:rPr>
        <w:t>部门应当加强上市后备企业辅导培育，支持符合条件的民营经济组织通过发行股票、债券等方式平等获得直接融资，拓宽民营经济组织的融资渠道，并对成功上市的企业按照规定给予补助和奖励。</w:t>
      </w:r>
    </w:p>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both"/>
        <w:textAlignment w:val="auto"/>
        <w:rPr>
          <w:rFonts w:hint="eastAsia" w:ascii="Times New Roman" w:hAnsi="Times New Roman" w:eastAsia="黑体"/>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黑体"/>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第四章</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黑体"/>
          <w:color w:val="000000" w:themeColor="text1"/>
          <w:sz w:val="32"/>
          <w:szCs w:val="32"/>
          <w:highlight w:val="none"/>
          <w14:textFill>
            <w14:solidFill>
              <w14:schemeClr w14:val="tx1"/>
            </w14:solidFill>
          </w14:textFill>
        </w:rPr>
        <w:t>创新发展</w:t>
      </w:r>
    </w:p>
    <w:p>
      <w:pPr>
        <w:pStyle w:val="3"/>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Times New Roman" w:hAnsi="Times New Roman" w:eastAsia="黑体"/>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第二十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九</w:t>
      </w:r>
      <w:r>
        <w:rPr>
          <w:rFonts w:hint="eastAsia" w:ascii="Times New Roman" w:hAnsi="Times New Roman" w:eastAsia="黑体"/>
          <w:color w:val="000000" w:themeColor="text1"/>
          <w:sz w:val="32"/>
          <w:szCs w:val="32"/>
          <w:highlight w:val="none"/>
          <w14:textFill>
            <w14:solidFill>
              <w14:schemeClr w14:val="tx1"/>
            </w14:solidFill>
          </w14:textFill>
        </w:rPr>
        <w:t>条【创新驱动】</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鼓励民营经济组织加大研发投入，建设和扩大科研设施，提升创新能力，在</w:t>
      </w:r>
      <w:r>
        <w:rPr>
          <w:rFonts w:hint="eastAsia" w:ascii="Times New Roman" w:hAnsi="Times New Roman" w:eastAsia="仿宋_GB2312"/>
          <w:color w:val="000000" w:themeColor="text1"/>
          <w:sz w:val="32"/>
          <w:szCs w:val="32"/>
          <w:highlight w:val="none"/>
          <w14:textFill>
            <w14:solidFill>
              <w14:schemeClr w14:val="tx1"/>
            </w14:solidFill>
          </w14:textFill>
        </w:rPr>
        <w:t>推动科技创新、培育和发展新质生产力、建设现代化产业体系中</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积极发挥</w:t>
      </w:r>
      <w:r>
        <w:rPr>
          <w:rFonts w:hint="eastAsia" w:ascii="Times New Roman" w:hAnsi="Times New Roman" w:eastAsia="仿宋_GB2312"/>
          <w:color w:val="000000" w:themeColor="text1"/>
          <w:sz w:val="32"/>
          <w:szCs w:val="32"/>
          <w:highlight w:val="none"/>
          <w14:textFill>
            <w14:solidFill>
              <w14:schemeClr w14:val="tx1"/>
            </w14:solidFill>
          </w14:textFill>
        </w:rPr>
        <w:t>作用，推动科技创新和产业创新融合发展，催生新产业、新模式、新动能。</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三十</w:t>
      </w:r>
      <w:r>
        <w:rPr>
          <w:rFonts w:hint="eastAsia" w:ascii="Times New Roman" w:hAnsi="Times New Roman" w:eastAsia="黑体"/>
          <w:color w:val="000000" w:themeColor="text1"/>
          <w:sz w:val="32"/>
          <w:szCs w:val="32"/>
          <w:highlight w:val="none"/>
          <w14:textFill>
            <w14:solidFill>
              <w14:schemeClr w14:val="tx1"/>
            </w14:solidFill>
          </w14:textFill>
        </w:rPr>
        <w:t>条【</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梯度培育</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14:textFill>
            <w14:solidFill>
              <w14:schemeClr w14:val="tx1"/>
            </w14:solidFill>
          </w14:textFill>
        </w:rPr>
        <w:t>市、区</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市）</w:t>
      </w:r>
      <w:r>
        <w:rPr>
          <w:rFonts w:hint="eastAsia" w:ascii="Times New Roman" w:hAnsi="Times New Roman" w:eastAsia="仿宋_GB2312"/>
          <w:color w:val="000000" w:themeColor="text1"/>
          <w:sz w:val="32"/>
          <w:szCs w:val="32"/>
          <w:highlight w:val="none"/>
          <w14:textFill>
            <w14:solidFill>
              <w14:schemeClr w14:val="tx1"/>
            </w14:solidFill>
          </w14:textFill>
        </w:rPr>
        <w:t>人民政府及其有关部门应当健全符合民营经济发展规律的企业梯度培育体系，加大制造业单项冠军企业、专精特新企业、高新技术企业和创新型中小企业、科技型中小企业培育力度。</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三十一</w:t>
      </w:r>
      <w:r>
        <w:rPr>
          <w:rFonts w:hint="eastAsia" w:ascii="Times New Roman" w:hAnsi="Times New Roman" w:eastAsia="黑体"/>
          <w:color w:val="000000" w:themeColor="text1"/>
          <w:sz w:val="32"/>
          <w:szCs w:val="32"/>
          <w:highlight w:val="none"/>
          <w14:textFill>
            <w14:solidFill>
              <w14:schemeClr w14:val="tx1"/>
            </w14:solidFill>
          </w14:textFill>
        </w:rPr>
        <w:t>条【创新平台】</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支持民营经济组织</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创建</w:t>
      </w:r>
      <w:r>
        <w:rPr>
          <w:rFonts w:hint="eastAsia" w:ascii="Times New Roman" w:hAnsi="Times New Roman" w:eastAsia="仿宋_GB2312"/>
          <w:color w:val="000000" w:themeColor="text1"/>
          <w:sz w:val="32"/>
          <w:szCs w:val="32"/>
          <w:highlight w:val="none"/>
          <w14:textFill>
            <w14:solidFill>
              <w14:schemeClr w14:val="tx1"/>
            </w14:solidFill>
          </w14:textFill>
        </w:rPr>
        <w:t>国家级、省级</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市级</w:t>
      </w:r>
      <w:r>
        <w:rPr>
          <w:rFonts w:hint="eastAsia" w:ascii="Times New Roman" w:hAnsi="Times New Roman" w:eastAsia="仿宋_GB2312"/>
          <w:color w:val="000000" w:themeColor="text1"/>
          <w:sz w:val="32"/>
          <w:szCs w:val="32"/>
          <w:highlight w:val="none"/>
          <w14:textFill>
            <w14:solidFill>
              <w14:schemeClr w14:val="tx1"/>
            </w14:solidFill>
          </w14:textFill>
        </w:rPr>
        <w:t>创新平台</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与高等学校、科研</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机构</w:t>
      </w:r>
      <w:r>
        <w:rPr>
          <w:rFonts w:hint="eastAsia" w:ascii="Times New Roman" w:hAnsi="Times New Roman" w:eastAsia="仿宋_GB2312"/>
          <w:color w:val="000000" w:themeColor="text1"/>
          <w:sz w:val="32"/>
          <w:szCs w:val="32"/>
          <w:highlight w:val="none"/>
          <w14:textFill>
            <w14:solidFill>
              <w14:schemeClr w14:val="tx1"/>
            </w14:solidFill>
          </w14:textFill>
        </w:rPr>
        <w:t>合作建立技术研发中心、重点实验室</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中试基地</w:t>
      </w:r>
      <w:r>
        <w:rPr>
          <w:rFonts w:hint="eastAsia" w:ascii="Times New Roman" w:hAnsi="Times New Roman" w:eastAsia="仿宋_GB2312"/>
          <w:color w:val="000000" w:themeColor="text1"/>
          <w:sz w:val="32"/>
          <w:szCs w:val="32"/>
          <w:highlight w:val="none"/>
          <w14:textFill>
            <w14:solidFill>
              <w14:schemeClr w14:val="tx1"/>
            </w14:solidFill>
          </w14:textFill>
        </w:rPr>
        <w:t>等科技创新平台</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积极申领和使用创新券</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鼓励</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各类</w:t>
      </w:r>
      <w:r>
        <w:rPr>
          <w:rFonts w:hint="eastAsia" w:ascii="Times New Roman" w:hAnsi="Times New Roman" w:eastAsia="仿宋_GB2312"/>
          <w:color w:val="000000" w:themeColor="text1"/>
          <w:sz w:val="32"/>
          <w:szCs w:val="32"/>
          <w:highlight w:val="none"/>
          <w14:textFill>
            <w14:solidFill>
              <w14:schemeClr w14:val="tx1"/>
            </w14:solidFill>
          </w14:textFill>
        </w:rPr>
        <w:t>科技创新平台向民营经济组织开放共享科研基础设施、大型科研仪器和实验场地。</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eastAsia="zh-CN"/>
          <w14:textFill>
            <w14:solidFill>
              <w14:schemeClr w14:val="tx1"/>
            </w14:solidFill>
          </w14:textFill>
        </w:rPr>
        <w:t>三十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黑体"/>
          <w:color w:val="000000" w:themeColor="text1"/>
          <w:sz w:val="32"/>
          <w:szCs w:val="32"/>
          <w:highlight w:val="none"/>
          <w14:textFill>
            <w14:solidFill>
              <w14:schemeClr w14:val="tx1"/>
            </w14:solidFill>
          </w14:textFill>
        </w:rPr>
        <w:t>条【技术攻关】</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14:textFill>
            <w14:solidFill>
              <w14:schemeClr w14:val="tx1"/>
            </w14:solidFill>
          </w14:textFill>
        </w:rPr>
        <w:t>支持民营经济组织牵头或者参与国家、省、市重大科技项目攻关，聚焦新能源、化工新材料、高端装备等重点领域</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产业</w:t>
      </w:r>
      <w:r>
        <w:rPr>
          <w:rFonts w:hint="eastAsia" w:ascii="Times New Roman" w:hAnsi="Times New Roman" w:eastAsia="仿宋_GB2312"/>
          <w:color w:val="000000" w:themeColor="text1"/>
          <w:sz w:val="32"/>
          <w:szCs w:val="32"/>
          <w:highlight w:val="none"/>
          <w14:textFill>
            <w14:solidFill>
              <w14:schemeClr w14:val="tx1"/>
            </w14:solidFill>
          </w14:textFill>
        </w:rPr>
        <w:t>开展关键共性技术研发</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第三十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三</w:t>
      </w:r>
      <w:r>
        <w:rPr>
          <w:rFonts w:hint="eastAsia" w:ascii="Times New Roman" w:hAnsi="Times New Roman" w:eastAsia="黑体"/>
          <w:color w:val="000000" w:themeColor="text1"/>
          <w:sz w:val="32"/>
          <w:szCs w:val="32"/>
          <w:highlight w:val="none"/>
          <w14:textFill>
            <w14:solidFill>
              <w14:schemeClr w14:val="tx1"/>
            </w14:solidFill>
          </w14:textFill>
        </w:rPr>
        <w:t>条【数字化转型】</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工业和信息化、大数据</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仿宋_GB2312"/>
          <w:color w:val="000000" w:themeColor="text1"/>
          <w:sz w:val="32"/>
          <w:szCs w:val="32"/>
          <w:highlight w:val="none"/>
          <w14:textFill>
            <w14:solidFill>
              <w14:schemeClr w14:val="tx1"/>
            </w14:solidFill>
          </w14:textFill>
        </w:rPr>
        <w:t>部门应当引导民营经济组织参与工业互联网、数据中心等新型基础设施建设和应用创新，支持数字化转型服务机构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、工业互联网</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平台等主体</w:t>
      </w:r>
      <w:r>
        <w:rPr>
          <w:rFonts w:hint="eastAsia" w:ascii="Times New Roman" w:hAnsi="Times New Roman" w:eastAsia="仿宋_GB2312"/>
          <w:color w:val="000000" w:themeColor="text1"/>
          <w:sz w:val="32"/>
          <w:szCs w:val="32"/>
          <w:highlight w:val="none"/>
          <w14:textFill>
            <w14:solidFill>
              <w14:schemeClr w14:val="tx1"/>
            </w14:solidFill>
          </w14:textFill>
        </w:rPr>
        <w:t>为民营经济组织提供数字化</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转型</w:t>
      </w:r>
      <w:r>
        <w:rPr>
          <w:rFonts w:hint="eastAsia" w:ascii="Times New Roman" w:hAnsi="Times New Roman" w:eastAsia="仿宋_GB2312"/>
          <w:color w:val="000000" w:themeColor="text1"/>
          <w:sz w:val="32"/>
          <w:szCs w:val="32"/>
          <w:highlight w:val="none"/>
          <w14:textFill>
            <w14:solidFill>
              <w14:schemeClr w14:val="tx1"/>
            </w14:solidFill>
          </w14:textFill>
        </w:rPr>
        <w:t>诊断</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服务和</w:t>
      </w:r>
      <w:r>
        <w:rPr>
          <w:rFonts w:hint="eastAsia" w:ascii="Times New Roman" w:hAnsi="Times New Roman" w:eastAsia="仿宋_GB2312"/>
          <w:color w:val="000000" w:themeColor="text1"/>
          <w:sz w:val="32"/>
          <w:szCs w:val="32"/>
          <w:highlight w:val="none"/>
          <w14:textFill>
            <w14:solidFill>
              <w14:schemeClr w14:val="tx1"/>
            </w14:solidFill>
          </w14:textFill>
        </w:rPr>
        <w:t>解决方案</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第三十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四</w:t>
      </w:r>
      <w:r>
        <w:rPr>
          <w:rFonts w:hint="eastAsia" w:ascii="Times New Roman" w:hAnsi="Times New Roman" w:eastAsia="黑体"/>
          <w:color w:val="000000" w:themeColor="text1"/>
          <w:sz w:val="32"/>
          <w:szCs w:val="32"/>
          <w:highlight w:val="none"/>
          <w14:textFill>
            <w14:solidFill>
              <w14:schemeClr w14:val="tx1"/>
            </w14:solidFill>
          </w14:textFill>
        </w:rPr>
        <w:t>条【品牌建设】</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鼓励民营经济组织</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参与</w:t>
      </w:r>
      <w:r>
        <w:rPr>
          <w:rFonts w:hint="eastAsia" w:ascii="Times New Roman" w:hAnsi="Times New Roman" w:eastAsia="仿宋_GB2312"/>
          <w:color w:val="000000" w:themeColor="text1"/>
          <w:sz w:val="32"/>
          <w:szCs w:val="32"/>
          <w:highlight w:val="none"/>
          <w14:textFill>
            <w14:solidFill>
              <w14:schemeClr w14:val="tx1"/>
            </w14:solidFill>
          </w14:textFill>
        </w:rPr>
        <w:t>区域</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公共</w:t>
      </w:r>
      <w:r>
        <w:rPr>
          <w:rFonts w:hint="eastAsia" w:ascii="Times New Roman" w:hAnsi="Times New Roman" w:eastAsia="仿宋_GB2312"/>
          <w:color w:val="000000" w:themeColor="text1"/>
          <w:sz w:val="32"/>
          <w:szCs w:val="32"/>
          <w:highlight w:val="none"/>
          <w14:textFill>
            <w14:solidFill>
              <w14:schemeClr w14:val="tx1"/>
            </w14:solidFill>
          </w14:textFill>
        </w:rPr>
        <w:t>品牌</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建设</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培育</w:t>
      </w:r>
      <w:r>
        <w:rPr>
          <w:rFonts w:hint="eastAsia" w:ascii="Times New Roman" w:hAnsi="Times New Roman" w:eastAsia="仿宋_GB2312"/>
          <w:color w:val="000000" w:themeColor="text1"/>
          <w:sz w:val="32"/>
          <w:szCs w:val="32"/>
          <w:highlight w:val="none"/>
          <w14:textFill>
            <w14:solidFill>
              <w14:schemeClr w14:val="tx1"/>
            </w14:solidFill>
          </w14:textFill>
        </w:rPr>
        <w:t>特色品牌，通过联合、兼并、重组等方式进行品牌整合。</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支持民营经济组织参与国际标准、国家标准、行业标准和地方标准的制定。</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第三十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黑体"/>
          <w:color w:val="000000" w:themeColor="text1"/>
          <w:sz w:val="32"/>
          <w:szCs w:val="32"/>
          <w:highlight w:val="none"/>
          <w14:textFill>
            <w14:solidFill>
              <w14:schemeClr w14:val="tx1"/>
            </w14:solidFill>
          </w14:textFill>
        </w:rPr>
        <w:t>条【知识产权】</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加强民营经济组织知识产权保护，落实知识产权侵权惩罚性赔偿制度</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市场监督管理</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新闻出版等</w:t>
      </w:r>
      <w:r>
        <w:rPr>
          <w:rFonts w:hint="eastAsia" w:ascii="Times New Roman" w:hAnsi="Times New Roman" w:eastAsia="仿宋_GB2312"/>
          <w:color w:val="000000" w:themeColor="text1"/>
          <w:sz w:val="32"/>
          <w:szCs w:val="32"/>
          <w:highlight w:val="none"/>
          <w14:textFill>
            <w14:solidFill>
              <w14:schemeClr w14:val="tx1"/>
            </w14:solidFill>
          </w14:textFill>
        </w:rPr>
        <w:t>部门应当依法查处侵犯商标专用权、专利权、著作权和商业秘密等违法行为。</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加强知识产权保护的区域、部门协作，为民营经济组织提供知识产权维权援助、风险预警等服务。</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第三十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六</w:t>
      </w:r>
      <w:r>
        <w:rPr>
          <w:rFonts w:hint="eastAsia" w:ascii="Times New Roman" w:hAnsi="Times New Roman" w:eastAsia="黑体"/>
          <w:color w:val="000000" w:themeColor="text1"/>
          <w:sz w:val="32"/>
          <w:szCs w:val="32"/>
          <w:highlight w:val="none"/>
          <w14:textFill>
            <w14:solidFill>
              <w14:schemeClr w14:val="tx1"/>
            </w14:solidFill>
          </w14:textFill>
        </w:rPr>
        <w:t>条【成果转化】</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完善科技成果转化服务体系，支持民营经济组织承接高等学校、科研</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机构</w:t>
      </w:r>
      <w:r>
        <w:rPr>
          <w:rFonts w:hint="eastAsia" w:ascii="Times New Roman" w:hAnsi="Times New Roman" w:eastAsia="仿宋_GB2312"/>
          <w:color w:val="000000" w:themeColor="text1"/>
          <w:sz w:val="32"/>
          <w:szCs w:val="32"/>
          <w:highlight w:val="none"/>
          <w14:textFill>
            <w14:solidFill>
              <w14:schemeClr w14:val="tx1"/>
            </w14:solidFill>
          </w14:textFill>
        </w:rPr>
        <w:t>的科技成果，</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推进</w:t>
      </w:r>
      <w:r>
        <w:rPr>
          <w:rFonts w:hint="eastAsia" w:ascii="Times New Roman" w:hAnsi="Times New Roman" w:eastAsia="仿宋_GB2312"/>
          <w:color w:val="000000" w:themeColor="text1"/>
          <w:sz w:val="32"/>
          <w:szCs w:val="32"/>
          <w:highlight w:val="none"/>
          <w14:textFill>
            <w14:solidFill>
              <w14:schemeClr w14:val="tx1"/>
            </w14:solidFill>
          </w14:textFill>
        </w:rPr>
        <w:t>科技成果转化项目产业化</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鼓励建立技术转移机构，为民营经济组织提供科技成果对接、评估、交易等服务。</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第三十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七</w:t>
      </w:r>
      <w:r>
        <w:rPr>
          <w:rFonts w:hint="eastAsia" w:ascii="Times New Roman" w:hAnsi="Times New Roman" w:eastAsia="黑体"/>
          <w:color w:val="000000" w:themeColor="text1"/>
          <w:sz w:val="32"/>
          <w:szCs w:val="32"/>
          <w:highlight w:val="none"/>
          <w14:textFill>
            <w14:solidFill>
              <w14:schemeClr w14:val="tx1"/>
            </w14:solidFill>
          </w14:textFill>
        </w:rPr>
        <w:t>条【绿色低碳】</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支持民营经济组织开展绿色技术创新，推广应用节能降碳技术和装备。</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支持民营经济</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组织</w:t>
      </w:r>
      <w:r>
        <w:rPr>
          <w:rFonts w:hint="eastAsia" w:ascii="Times New Roman" w:hAnsi="Times New Roman" w:eastAsia="仿宋_GB2312"/>
          <w:color w:val="000000" w:themeColor="text1"/>
          <w:sz w:val="32"/>
          <w:szCs w:val="32"/>
          <w:highlight w:val="none"/>
          <w14:textFill>
            <w14:solidFill>
              <w14:schemeClr w14:val="tx1"/>
            </w14:solidFill>
          </w14:textFill>
        </w:rPr>
        <w:t>参与废旧物资循环利用体系建设</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实施</w:t>
      </w:r>
      <w:r>
        <w:rPr>
          <w:rFonts w:hint="eastAsia" w:ascii="Times New Roman" w:hAnsi="Times New Roman" w:eastAsia="仿宋_GB2312"/>
          <w:color w:val="000000" w:themeColor="text1"/>
          <w:sz w:val="32"/>
          <w:szCs w:val="32"/>
          <w:highlight w:val="none"/>
          <w14:textFill>
            <w14:solidFill>
              <w14:schemeClr w14:val="tx1"/>
            </w14:solidFill>
          </w14:textFill>
        </w:rPr>
        <w:t>废旧物资循环利用、大宗固废综合利用等项目</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第三十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八条</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000000" w:themeColor="text1"/>
          <w:sz w:val="32"/>
          <w:szCs w:val="32"/>
          <w:highlight w:val="none"/>
          <w:lang w:eastAsia="zh-CN"/>
          <w14:textFill>
            <w14:solidFill>
              <w14:schemeClr w14:val="tx1"/>
            </w14:solidFill>
          </w14:textFill>
        </w:rPr>
        <w:t>创新</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激励</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　</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市、区（市）人民政府及其有关部门</w:t>
      </w:r>
      <w:r>
        <w:rPr>
          <w:rFonts w:hint="eastAsia" w:ascii="Times New Roman" w:hAnsi="Times New Roman" w:eastAsia="仿宋_GB2312"/>
          <w:color w:val="000000" w:themeColor="text1"/>
          <w:sz w:val="32"/>
          <w:szCs w:val="32"/>
          <w:highlight w:val="none"/>
          <w14:textFill>
            <w14:solidFill>
              <w14:schemeClr w14:val="tx1"/>
            </w14:solidFill>
          </w14:textFill>
        </w:rPr>
        <w:t>应当加大对民营经济组织科技创新的政策引导，民营经济组织有下列情形之一的，按照有关规定给予激励：</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（一）获批建设国家级和省级创新平台的；</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（二）参与国家、省、市重大科技项目攻关，取得重大科技成果或者促进重大科技成果转化的；</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strike w:val="0"/>
          <w:dstrike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strike w:val="0"/>
          <w:dstrike w:val="0"/>
          <w:color w:val="000000" w:themeColor="text1"/>
          <w:sz w:val="32"/>
          <w:szCs w:val="32"/>
          <w:highlight w:val="none"/>
          <w14:textFill>
            <w14:solidFill>
              <w14:schemeClr w14:val="tx1"/>
            </w14:solidFill>
          </w14:textFill>
        </w:rPr>
        <w:t>（三）参与重点领域产业关键共性技术研发的；</w:t>
      </w:r>
      <w:r>
        <w:rPr>
          <w:rFonts w:hint="eastAsia" w:ascii="Times New Roman" w:hAnsi="Times New Roman" w:eastAsia="仿宋_GB2312"/>
          <w:strike w:val="0"/>
          <w:dstrike w:val="0"/>
          <w:color w:val="000000" w:themeColor="text1"/>
          <w:sz w:val="32"/>
          <w:szCs w:val="32"/>
          <w:highlight w:val="none"/>
          <w:lang w:val="en-US" w:eastAsia="zh-CN"/>
          <w14:textFill>
            <w14:solidFill>
              <w14:schemeClr w14:val="tx1"/>
            </w14:solidFill>
          </w14:textFill>
        </w:rPr>
        <w:t xml:space="preserve"> </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四</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承接高等学校、科研</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机构</w:t>
      </w:r>
      <w:r>
        <w:rPr>
          <w:rFonts w:hint="eastAsia" w:ascii="Times New Roman" w:hAnsi="Times New Roman" w:eastAsia="仿宋_GB2312"/>
          <w:color w:val="000000" w:themeColor="text1"/>
          <w:sz w:val="32"/>
          <w:szCs w:val="32"/>
          <w:highlight w:val="none"/>
          <w14:textFill>
            <w14:solidFill>
              <w14:schemeClr w14:val="tx1"/>
            </w14:solidFill>
          </w14:textFill>
        </w:rPr>
        <w:t>的科技成果，</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科技成果</w:t>
      </w:r>
      <w:r>
        <w:rPr>
          <w:rFonts w:hint="eastAsia" w:ascii="Times New Roman" w:hAnsi="Times New Roman" w:eastAsia="仿宋_GB2312"/>
          <w:color w:val="000000" w:themeColor="text1"/>
          <w:sz w:val="32"/>
          <w:szCs w:val="32"/>
          <w:highlight w:val="none"/>
          <w14:textFill>
            <w14:solidFill>
              <w14:schemeClr w14:val="tx1"/>
            </w14:solidFill>
          </w14:textFill>
        </w:rPr>
        <w:t>转化项目成功实现产业化</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仿宋_GB2312"/>
          <w:color w:val="000000" w:themeColor="text1"/>
          <w:sz w:val="32"/>
          <w:szCs w:val="32"/>
          <w:highlight w:val="none"/>
          <w14:textFill>
            <w14:solidFill>
              <w14:schemeClr w14:val="tx1"/>
            </w14:solidFill>
          </w14:textFill>
        </w:rPr>
        <w:t>）主导制定或者修订国际标准、国家标准和省级地方标准的。</w:t>
      </w:r>
    </w:p>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黑体"/>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第五章</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黑体"/>
          <w:color w:val="000000" w:themeColor="text1"/>
          <w:sz w:val="32"/>
          <w:szCs w:val="32"/>
          <w:highlight w:val="none"/>
          <w14:textFill>
            <w14:solidFill>
              <w14:schemeClr w14:val="tx1"/>
            </w14:solidFill>
          </w14:textFill>
        </w:rPr>
        <w:t>权益保护</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第三十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九</w:t>
      </w:r>
      <w:r>
        <w:rPr>
          <w:rFonts w:hint="eastAsia" w:ascii="Times New Roman" w:hAnsi="Times New Roman" w:eastAsia="黑体"/>
          <w:color w:val="000000" w:themeColor="text1"/>
          <w:sz w:val="32"/>
          <w:szCs w:val="32"/>
          <w:highlight w:val="none"/>
          <w14:textFill>
            <w14:solidFill>
              <w14:schemeClr w14:val="tx1"/>
            </w14:solidFill>
          </w14:textFill>
        </w:rPr>
        <w:t>条【权益保护】</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民营经济组织及其经营者的人身权利、财产权利以及经营自主权等合法权益受法律保护，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任何单位和个人不得侵犯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四十</w:t>
      </w:r>
      <w:r>
        <w:rPr>
          <w:rFonts w:hint="eastAsia" w:ascii="Times New Roman" w:hAnsi="Times New Roman" w:eastAsia="黑体"/>
          <w:color w:val="000000" w:themeColor="text1"/>
          <w:sz w:val="32"/>
          <w:szCs w:val="32"/>
          <w:highlight w:val="none"/>
          <w14:textFill>
            <w14:solidFill>
              <w14:schemeClr w14:val="tx1"/>
            </w14:solidFill>
          </w14:textFill>
        </w:rPr>
        <w:t>条【企业治理】</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民营经济组织应当完善治理</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结构</w:t>
      </w:r>
      <w:r>
        <w:rPr>
          <w:rFonts w:hint="eastAsia" w:ascii="Times New Roman" w:hAnsi="Times New Roman" w:eastAsia="仿宋_GB2312"/>
          <w:color w:val="000000" w:themeColor="text1"/>
          <w:sz w:val="32"/>
          <w:szCs w:val="32"/>
          <w:highlight w:val="none"/>
          <w14:textFill>
            <w14:solidFill>
              <w14:schemeClr w14:val="tx1"/>
            </w14:solidFill>
          </w14:textFill>
        </w:rPr>
        <w:t>和管理制度，</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规范经营行为，</w:t>
      </w:r>
      <w:r>
        <w:rPr>
          <w:rFonts w:hint="eastAsia" w:ascii="Times New Roman" w:hAnsi="Times New Roman" w:eastAsia="仿宋_GB2312"/>
          <w:color w:val="000000" w:themeColor="text1"/>
          <w:sz w:val="32"/>
          <w:szCs w:val="32"/>
          <w:highlight w:val="none"/>
          <w14:textFill>
            <w14:solidFill>
              <w14:schemeClr w14:val="tx1"/>
            </w14:solidFill>
          </w14:textFill>
        </w:rPr>
        <w:t>加强财务管理</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强化内部监督，加强廉洁风险防控，</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提升依法合规</w:t>
      </w:r>
      <w:r>
        <w:rPr>
          <w:rFonts w:hint="eastAsia" w:ascii="Times New Roman" w:hAnsi="Times New Roman" w:eastAsia="仿宋_GB2312"/>
          <w:color w:val="000000" w:themeColor="text1"/>
          <w:sz w:val="32"/>
          <w:szCs w:val="32"/>
          <w:highlight w:val="none"/>
          <w14:textFill>
            <w14:solidFill>
              <w14:schemeClr w14:val="tx1"/>
            </w14:solidFill>
          </w14:textFill>
        </w:rPr>
        <w:t>经营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管理水平</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eastAsia="zh-CN"/>
          <w14:textFill>
            <w14:solidFill>
              <w14:schemeClr w14:val="tx1"/>
            </w14:solidFill>
          </w14:textFill>
        </w:rPr>
        <w:t>四十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一</w:t>
      </w:r>
      <w:r>
        <w:rPr>
          <w:rFonts w:hint="eastAsia" w:ascii="Times New Roman" w:hAnsi="Times New Roman" w:eastAsia="黑体"/>
          <w:color w:val="000000" w:themeColor="text1"/>
          <w:sz w:val="32"/>
          <w:szCs w:val="32"/>
          <w:highlight w:val="none"/>
          <w14:textFill>
            <w14:solidFill>
              <w14:schemeClr w14:val="tx1"/>
            </w14:solidFill>
          </w14:textFill>
        </w:rPr>
        <w:t>条【自主经营】</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任何单位和个人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不得</w:t>
      </w:r>
      <w:r>
        <w:rPr>
          <w:rFonts w:hint="eastAsia" w:ascii="Times New Roman" w:hAnsi="Times New Roman" w:eastAsia="仿宋_GB2312"/>
          <w:color w:val="000000" w:themeColor="text1"/>
          <w:sz w:val="32"/>
          <w:szCs w:val="32"/>
          <w:highlight w:val="none"/>
          <w14:textFill>
            <w14:solidFill>
              <w14:schemeClr w14:val="tx1"/>
            </w14:solidFill>
          </w14:textFill>
        </w:rPr>
        <w:t>违法干预民营经济组织的生产经营、投资决策、自主用工、人事任免等经营自主权</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不得违法要求民营经济组织调整生产规模、改变经营方式、限定经营范围，不得违法采取停水</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停电</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停气等措施干扰正常生产经营活动。</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eastAsia="zh-CN"/>
          <w14:textFill>
            <w14:solidFill>
              <w14:schemeClr w14:val="tx1"/>
            </w14:solidFill>
          </w14:textFill>
        </w:rPr>
        <w:t>四十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黑体"/>
          <w:color w:val="000000" w:themeColor="text1"/>
          <w:sz w:val="32"/>
          <w:szCs w:val="32"/>
          <w:highlight w:val="none"/>
          <w14:textFill>
            <w14:solidFill>
              <w14:schemeClr w14:val="tx1"/>
            </w14:solidFill>
          </w14:textFill>
        </w:rPr>
        <w:t>条【政府履约】</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市、区（市）人民政府及其有关部门应当履行依法作出的政策承诺和依法签订的合同，不得以行政区划调整、政府换届、机构或者职能调整以及相关人员更替等为由违约毁约。确因国家利益、公共利益需要改变</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政策承诺、合同约定</w:t>
      </w:r>
      <w:r>
        <w:rPr>
          <w:rFonts w:hint="eastAsia" w:ascii="Times New Roman" w:hAnsi="Times New Roman" w:eastAsia="仿宋_GB2312"/>
          <w:color w:val="000000" w:themeColor="text1"/>
          <w:sz w:val="32"/>
          <w:szCs w:val="32"/>
          <w:highlight w:val="none"/>
          <w14:textFill>
            <w14:solidFill>
              <w14:schemeClr w14:val="tx1"/>
            </w14:solidFill>
          </w14:textFill>
        </w:rPr>
        <w:t>的，应当依照法定权限和程序进行，并依法对民营经济组织</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因此</w:t>
      </w:r>
      <w:r>
        <w:rPr>
          <w:rFonts w:hint="eastAsia" w:ascii="Times New Roman" w:hAnsi="Times New Roman" w:eastAsia="仿宋_GB2312"/>
          <w:color w:val="000000" w:themeColor="text1"/>
          <w:sz w:val="32"/>
          <w:szCs w:val="32"/>
          <w:highlight w:val="none"/>
          <w14:textFill>
            <w14:solidFill>
              <w14:schemeClr w14:val="tx1"/>
            </w14:solidFill>
          </w14:textFill>
        </w:rPr>
        <w:t>受到的损失予以补偿。</w:t>
      </w: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atLeast"/>
        <w:ind w:right="375" w:firstLine="640" w:firstLineChars="200"/>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四十三</w:t>
      </w:r>
      <w:r>
        <w:rPr>
          <w:rFonts w:hint="eastAsia" w:ascii="Times New Roman" w:hAnsi="Times New Roman" w:eastAsia="黑体"/>
          <w:color w:val="000000" w:themeColor="text1"/>
          <w:sz w:val="32"/>
          <w:szCs w:val="32"/>
          <w:highlight w:val="none"/>
          <w14:textFill>
            <w14:solidFill>
              <w14:schemeClr w14:val="tx1"/>
            </w14:solidFill>
          </w14:textFill>
        </w:rPr>
        <w:t>条【涉企收费】</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t>健全完善涉企</w:t>
      </w: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fldChar w:fldCharType="begin"/>
      </w: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instrText xml:space="preserve"> HYPERLINK "https://www.pkulaw.com/lar/71a4b60e8de43850c9566660f96530f2bdfb.html?way=textSlc" </w:instrText>
      </w: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fldChar w:fldCharType="separate"/>
      </w: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t>行政事业性收费</w:t>
      </w: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fldChar w:fldCharType="end"/>
      </w: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t>、政府性基金、涉企保证金、政府定价经营服务性收费目录清单制度，实行涉企收费目录清单动态管理，并向社会公布。清单之外一律不得收费。</w:t>
      </w: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fldChar w:fldCharType="begin"/>
      </w: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instrText xml:space="preserve"> HYPERLINK "javascript:void(0);" </w:instrText>
      </w: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fldChar w:fldCharType="separate"/>
      </w: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fldChar w:fldCharType="end"/>
      </w:r>
      <w:bookmarkStart w:id="0" w:name="tiao_34_kuan_2"/>
      <w:bookmarkEnd w:id="0"/>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atLeast"/>
        <w:ind w:right="375" w:firstLine="640" w:firstLineChars="200"/>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highlight w:val="none"/>
          <w:vertAlign w:val="baseline"/>
          <w:lang w:val="en-US" w:eastAsia="zh-CN" w:bidi="ar-SA"/>
          <w14:textFill>
            <w14:solidFill>
              <w14:schemeClr w14:val="tx1"/>
            </w14:solidFill>
          </w14:textFill>
        </w:rPr>
        <w:t>任何单位不得实施没有法律、法规依据的罚款，不得向民营经济组织摊派财物，不得违反法定权限、条件和程序征收、征用财产。</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第四十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四</w:t>
      </w:r>
      <w:r>
        <w:rPr>
          <w:rFonts w:hint="eastAsia" w:ascii="Times New Roman" w:hAnsi="Times New Roman" w:eastAsia="黑体"/>
          <w:color w:val="000000" w:themeColor="text1"/>
          <w:sz w:val="32"/>
          <w:szCs w:val="32"/>
          <w:highlight w:val="none"/>
          <w14:textFill>
            <w14:solidFill>
              <w14:schemeClr w14:val="tx1"/>
            </w14:solidFill>
          </w14:textFill>
        </w:rPr>
        <w:t>条【账款支付】</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国家机关、事业单位、国有企业应当依法或者依合同约定及时向民营经济组织支付账款，不得要求民营经济组织接受不合理的付款期限、方式和违约责任，不得强制中小民营经济组织接受商业汇票、应收账款电子凭证等非现金支付方式，不得利用商业汇票、应收账款电子凭证等非现金支付方式变相延长付款期限。</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工业和信息化部门应当加大清理拖欠账款力度，</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及时化解清欠投诉问题</w:t>
      </w:r>
      <w:r>
        <w:rPr>
          <w:rFonts w:hint="eastAsia" w:ascii="Times New Roman" w:hAnsi="Times New Roman" w:eastAsia="仿宋_GB2312"/>
          <w:color w:val="000000" w:themeColor="text1"/>
          <w:sz w:val="32"/>
          <w:szCs w:val="32"/>
          <w:highlight w:val="none"/>
          <w14:textFill>
            <w14:solidFill>
              <w14:schemeClr w14:val="tx1"/>
            </w14:solidFill>
          </w14:textFill>
        </w:rPr>
        <w:t>。审计部门应当依法对国家机关、事业单位、国有企业支付民营经济组织账款情况实施审计监督。</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第四十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黑体"/>
          <w:color w:val="000000" w:themeColor="text1"/>
          <w:sz w:val="32"/>
          <w:szCs w:val="32"/>
          <w:highlight w:val="none"/>
          <w14:textFill>
            <w14:solidFill>
              <w14:schemeClr w14:val="tx1"/>
            </w14:solidFill>
          </w14:textFill>
        </w:rPr>
        <w:t>条【执法规范】</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市、区（市）人民政府及其有关部门应当</w:t>
      </w:r>
      <w:r>
        <w:rPr>
          <w:rFonts w:hint="eastAsia" w:ascii="Times New Roman" w:hAnsi="Times New Roman" w:eastAsia="仿宋_GB2312"/>
          <w:color w:val="000000" w:themeColor="text1"/>
          <w:sz w:val="32"/>
          <w:szCs w:val="32"/>
          <w:highlight w:val="none"/>
          <w14:textFill>
            <w14:solidFill>
              <w14:schemeClr w14:val="tx1"/>
            </w14:solidFill>
          </w14:textFill>
        </w:rPr>
        <w:t>推动监管信息共享互认，落实分级分类监管制度，实行涉企检查事项清单管理，避免或者尽量减少对民营经济组织正常生产经营活动的影响。</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除直接涉及公共安全和人民群众生命健康等特殊行业、重点领域依法依规实行全覆盖的重点监管外，市场监管领域相关部门的行政检查应当通过随机抽取检查对象、随机选派执法检查人员的方式进行，抽查事项和查处结果及时向社会公开。针对同一检查对象的多个检查事项，应当尽可能合并或者纳入跨部门联合检查范围，防止重复检查、多头检查。</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对新技术、新产业、新业态、新模式的民营经济组织，应当按照鼓励创新、包容审慎的原则，实施积极稳妥的监管政策，分类制定监管规则和标准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第四十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六</w:t>
      </w:r>
      <w:r>
        <w:rPr>
          <w:rFonts w:hint="eastAsia" w:ascii="Times New Roman" w:hAnsi="Times New Roman" w:eastAsia="黑体"/>
          <w:color w:val="000000" w:themeColor="text1"/>
          <w:sz w:val="32"/>
          <w:szCs w:val="32"/>
          <w:highlight w:val="none"/>
          <w14:textFill>
            <w14:solidFill>
              <w14:schemeClr w14:val="tx1"/>
            </w14:solidFill>
          </w14:textFill>
        </w:rPr>
        <w:t>条【</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强制措施</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查封、扣押、冻结涉案财物，应当遵守法定权限、条件和程序，严格区分违法所得、其他涉案财物与合法财产，民营经济组织财产与民营经济组织经营者个人财产，涉案人财产与案外人财产，不得超权限、超范围、超数额、超时限查封、扣押、冻结财物。对查封、扣押的涉案财物，应当妥善保管。</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第四十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七</w:t>
      </w:r>
      <w:r>
        <w:rPr>
          <w:rFonts w:hint="eastAsia" w:ascii="Times New Roman" w:hAnsi="Times New Roman" w:eastAsia="黑体"/>
          <w:color w:val="000000" w:themeColor="text1"/>
          <w:sz w:val="32"/>
          <w:szCs w:val="32"/>
          <w:highlight w:val="none"/>
          <w14:textFill>
            <w14:solidFill>
              <w14:schemeClr w14:val="tx1"/>
            </w14:solidFill>
          </w14:textFill>
        </w:rPr>
        <w:t>条【投诉举报】</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畅通便民服务热线、政务服务平台等投诉举报渠道，建立健全投诉举报受理、调查、处理、反馈制度，及时依法处理民营经济组织的投诉举报，为投诉人、举报人保密。</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第四十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八</w:t>
      </w:r>
      <w:r>
        <w:rPr>
          <w:rFonts w:hint="eastAsia" w:ascii="Times New Roman" w:hAnsi="Times New Roman" w:eastAsia="黑体"/>
          <w:color w:val="000000" w:themeColor="text1"/>
          <w:sz w:val="32"/>
          <w:szCs w:val="32"/>
          <w:highlight w:val="none"/>
          <w14:textFill>
            <w14:solidFill>
              <w14:schemeClr w14:val="tx1"/>
            </w14:solidFill>
          </w14:textFill>
        </w:rPr>
        <w:t>条【信用修复】</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发展改革部门应当会同有关部门健全民营经济组织信用修复制度，公布修复流程指引，指导民营经济组织完成信用修复工作。对纠正失信行为、消除不良影响的民营经济组织，按照规定及时解除惩戒措施，移除失信信息公示。</w:t>
      </w:r>
    </w:p>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黑体"/>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黑体"/>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第六章</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黑体"/>
          <w:color w:val="000000" w:themeColor="text1"/>
          <w:sz w:val="32"/>
          <w:szCs w:val="32"/>
          <w:highlight w:val="none"/>
          <w14:textFill>
            <w14:solidFill>
              <w14:schemeClr w14:val="tx1"/>
            </w14:solidFill>
          </w14:textFill>
        </w:rPr>
        <w:t>服务保障</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第四十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九</w:t>
      </w:r>
      <w:r>
        <w:rPr>
          <w:rFonts w:hint="eastAsia" w:ascii="Times New Roman" w:hAnsi="Times New Roman" w:eastAsia="黑体"/>
          <w:color w:val="000000" w:themeColor="text1"/>
          <w:sz w:val="32"/>
          <w:szCs w:val="32"/>
          <w:highlight w:val="none"/>
          <w14:textFill>
            <w14:solidFill>
              <w14:schemeClr w14:val="tx1"/>
            </w14:solidFill>
          </w14:textFill>
        </w:rPr>
        <w:t>条【政务服务】</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深化一网通办改革，行政审批服务、大数据部门应当简化涉企审批流程，推行一窗受理、并联审批，对涉企政务服务事项实行清单化管理，能够通过数据共享获取的材料不得要求重复提供。</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五十</w:t>
      </w:r>
      <w:r>
        <w:rPr>
          <w:rFonts w:hint="eastAsia" w:ascii="Times New Roman" w:hAnsi="Times New Roman" w:eastAsia="黑体"/>
          <w:color w:val="000000" w:themeColor="text1"/>
          <w:sz w:val="32"/>
          <w:szCs w:val="32"/>
          <w:highlight w:val="none"/>
          <w14:textFill>
            <w14:solidFill>
              <w14:schemeClr w14:val="tx1"/>
            </w14:solidFill>
          </w14:textFill>
        </w:rPr>
        <w:t>条【政策直达】</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建立惠企政策统一查询、申请、兑现平台，推行惠企政策免申即享</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直达快享，</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向</w:t>
      </w:r>
      <w:r>
        <w:rPr>
          <w:rFonts w:hint="eastAsia" w:ascii="Times New Roman" w:hAnsi="Times New Roman" w:eastAsia="仿宋_GB2312"/>
          <w:color w:val="000000" w:themeColor="text1"/>
          <w:sz w:val="32"/>
          <w:szCs w:val="32"/>
          <w:highlight w:val="none"/>
          <w14:textFill>
            <w14:solidFill>
              <w14:schemeClr w14:val="tx1"/>
            </w14:solidFill>
          </w14:textFill>
        </w:rPr>
        <w:t>民营经济组织主动推送政策、兑现资金，提高政策落实效率。</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eastAsia="zh-CN"/>
          <w14:textFill>
            <w14:solidFill>
              <w14:schemeClr w14:val="tx1"/>
            </w14:solidFill>
          </w14:textFill>
        </w:rPr>
        <w:t>五十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一</w:t>
      </w:r>
      <w:r>
        <w:rPr>
          <w:rFonts w:hint="eastAsia" w:ascii="Times New Roman" w:hAnsi="Times New Roman" w:eastAsia="黑体"/>
          <w:color w:val="000000" w:themeColor="text1"/>
          <w:sz w:val="32"/>
          <w:szCs w:val="32"/>
          <w:highlight w:val="none"/>
          <w14:textFill>
            <w14:solidFill>
              <w14:schemeClr w14:val="tx1"/>
            </w14:solidFill>
          </w14:textFill>
        </w:rPr>
        <w:t>条【政企沟通】</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建立常态化政企沟通机制，通过座谈会、恳谈会、问卷调查等方式，及时听取民营经济组织的意见建议，对反映的合理诉求限时办结并反馈。</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构建市、区（市）与重点民营企业（项目）分级帮包</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和</w:t>
      </w:r>
      <w:r>
        <w:rPr>
          <w:rFonts w:hint="eastAsia" w:ascii="Times New Roman" w:hAnsi="Times New Roman" w:eastAsia="仿宋_GB2312"/>
          <w:color w:val="000000" w:themeColor="text1"/>
          <w:sz w:val="32"/>
          <w:szCs w:val="32"/>
          <w:highlight w:val="none"/>
          <w14:textFill>
            <w14:solidFill>
              <w14:schemeClr w14:val="tx1"/>
            </w14:solidFill>
          </w14:textFill>
        </w:rPr>
        <w:t>一体化服务体系，</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建立健全</w:t>
      </w:r>
      <w:r>
        <w:rPr>
          <w:rFonts w:hint="eastAsia" w:ascii="Times New Roman" w:hAnsi="Times New Roman" w:eastAsia="仿宋_GB2312"/>
          <w:color w:val="000000" w:themeColor="text1"/>
          <w:sz w:val="32"/>
          <w:szCs w:val="32"/>
          <w:highlight w:val="none"/>
          <w14:textFill>
            <w14:solidFill>
              <w14:schemeClr w14:val="tx1"/>
            </w14:solidFill>
          </w14:textFill>
        </w:rPr>
        <w:t>常态化帮包服务机制，</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及时解决企业诉求</w:t>
      </w:r>
      <w:r>
        <w:rPr>
          <w:rFonts w:hint="eastAsia" w:ascii="Times New Roman" w:hAnsi="Times New Roman" w:eastAsia="仿宋_GB2312"/>
          <w:color w:val="000000" w:themeColor="text1"/>
          <w:sz w:val="32"/>
          <w:szCs w:val="32"/>
          <w:highlight w:val="none"/>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第五十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黑体"/>
          <w:color w:val="000000" w:themeColor="text1"/>
          <w:sz w:val="32"/>
          <w:szCs w:val="32"/>
          <w:highlight w:val="none"/>
          <w14:textFill>
            <w14:solidFill>
              <w14:schemeClr w14:val="tx1"/>
            </w14:solidFill>
          </w14:textFill>
        </w:rPr>
        <w:t>条【人才服务】</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人力资源和社会保障部门应当会同有关部门建立健全人力资源服务机制，完善用工服务平台功能，为劳动者求职就业和民营经济组织招工用工提供便利。</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深入推进“榴枣归乡”工程，鼓励大学毕业生来枣留枣就业，对符合申请就业补贴条件的人员及时发放就业补贴</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将民营经济组织引进的高层次、高技能、紧缺人才纳入政府人才引进体系</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在落户、住房、子女入学、医疗保健等方面提供便利。</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pacing w:val="9"/>
          <w:sz w:val="32"/>
          <w:szCs w:val="32"/>
          <w:highlight w:val="none"/>
          <w:lang w:eastAsia="zh-CN"/>
        </w:rPr>
      </w:pPr>
      <w:r>
        <w:rPr>
          <w:rFonts w:hint="eastAsia" w:ascii="Times New Roman" w:hAnsi="Times New Roman" w:eastAsia="黑体"/>
          <w:color w:val="000000" w:themeColor="text1"/>
          <w:sz w:val="32"/>
          <w:szCs w:val="32"/>
          <w:highlight w:val="none"/>
          <w14:textFill>
            <w14:solidFill>
              <w14:schemeClr w14:val="tx1"/>
            </w14:solidFill>
          </w14:textFill>
        </w:rPr>
        <w:t>第五十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三</w:t>
      </w:r>
      <w:r>
        <w:rPr>
          <w:rFonts w:hint="eastAsia" w:ascii="Times New Roman" w:hAnsi="Times New Roman" w:eastAsia="黑体"/>
          <w:color w:val="000000" w:themeColor="text1"/>
          <w:sz w:val="32"/>
          <w:szCs w:val="32"/>
          <w:highlight w:val="none"/>
          <w14:textFill>
            <w14:solidFill>
              <w14:schemeClr w14:val="tx1"/>
            </w14:solidFill>
          </w14:textFill>
        </w:rPr>
        <w:t>条【</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职称评审</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auto"/>
          <w:sz w:val="32"/>
          <w:szCs w:val="32"/>
          <w:highlight w:val="none"/>
          <w:lang w:eastAsia="zh-CN"/>
        </w:rPr>
        <w:t>　</w:t>
      </w:r>
      <w:r>
        <w:rPr>
          <w:rFonts w:hint="eastAsia" w:ascii="Times New Roman" w:hAnsi="Times New Roman" w:eastAsia="仿宋_GB2312"/>
          <w:color w:val="auto"/>
          <w:spacing w:val="9"/>
          <w:sz w:val="32"/>
          <w:szCs w:val="32"/>
          <w:highlight w:val="none"/>
        </w:rPr>
        <w:t>人力资源</w:t>
      </w:r>
      <w:r>
        <w:rPr>
          <w:rFonts w:hint="eastAsia" w:ascii="Times New Roman" w:hAnsi="Times New Roman" w:eastAsia="仿宋_GB2312"/>
          <w:color w:val="auto"/>
          <w:spacing w:val="9"/>
          <w:sz w:val="32"/>
          <w:szCs w:val="32"/>
          <w:highlight w:val="none"/>
          <w:lang w:val="en-US" w:eastAsia="zh-CN"/>
        </w:rPr>
        <w:t>和</w:t>
      </w:r>
      <w:r>
        <w:rPr>
          <w:rFonts w:hint="eastAsia" w:ascii="Times New Roman" w:hAnsi="Times New Roman" w:eastAsia="仿宋_GB2312"/>
          <w:color w:val="auto"/>
          <w:spacing w:val="9"/>
          <w:sz w:val="32"/>
          <w:szCs w:val="32"/>
          <w:highlight w:val="none"/>
        </w:rPr>
        <w:t>社会保障</w:t>
      </w:r>
      <w:r>
        <w:rPr>
          <w:rFonts w:hint="eastAsia" w:ascii="Times New Roman" w:hAnsi="Times New Roman" w:eastAsia="仿宋_GB2312"/>
          <w:color w:val="auto"/>
          <w:spacing w:val="9"/>
          <w:sz w:val="32"/>
          <w:szCs w:val="32"/>
          <w:highlight w:val="none"/>
          <w:lang w:val="en-US" w:eastAsia="zh-CN"/>
        </w:rPr>
        <w:t>等</w:t>
      </w:r>
      <w:r>
        <w:rPr>
          <w:rFonts w:hint="eastAsia" w:ascii="Times New Roman" w:hAnsi="Times New Roman" w:eastAsia="仿宋_GB2312"/>
          <w:color w:val="auto"/>
          <w:spacing w:val="9"/>
          <w:sz w:val="32"/>
          <w:szCs w:val="32"/>
          <w:highlight w:val="none"/>
        </w:rPr>
        <w:t>部门</w:t>
      </w:r>
      <w:r>
        <w:rPr>
          <w:rFonts w:hint="eastAsia" w:ascii="Times New Roman" w:hAnsi="Times New Roman" w:eastAsia="仿宋_GB2312"/>
          <w:color w:val="auto"/>
          <w:spacing w:val="9"/>
          <w:sz w:val="32"/>
          <w:szCs w:val="32"/>
          <w:highlight w:val="none"/>
          <w:lang w:val="en-US" w:eastAsia="zh-CN"/>
        </w:rPr>
        <w:t>应当畅通民营经济组织职称评审渠道，</w:t>
      </w:r>
      <w:r>
        <w:rPr>
          <w:rFonts w:hint="eastAsia" w:ascii="Times New Roman" w:hAnsi="Times New Roman" w:eastAsia="仿宋_GB2312"/>
          <w:color w:val="auto"/>
          <w:spacing w:val="9"/>
          <w:sz w:val="32"/>
          <w:szCs w:val="32"/>
          <w:highlight w:val="none"/>
        </w:rPr>
        <w:t>完善以市场评价为导向的人才职称评审标准，支持符合条件的民营经济组织面向本单位专业技术人才开展自主职称评审</w:t>
      </w:r>
      <w:r>
        <w:rPr>
          <w:rFonts w:hint="eastAsia" w:ascii="Times New Roman" w:hAnsi="Times New Roman" w:eastAsia="仿宋_GB2312"/>
          <w:color w:val="auto"/>
          <w:spacing w:val="9"/>
          <w:sz w:val="32"/>
          <w:szCs w:val="32"/>
          <w:highlight w:val="none"/>
          <w:lang w:eastAsia="zh-CN"/>
        </w:rPr>
        <w:t>。</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第五十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四</w:t>
      </w:r>
      <w:r>
        <w:rPr>
          <w:rFonts w:hint="eastAsia" w:ascii="Times New Roman" w:hAnsi="Times New Roman" w:eastAsia="黑体"/>
          <w:color w:val="000000" w:themeColor="text1"/>
          <w:sz w:val="32"/>
          <w:szCs w:val="32"/>
          <w:highlight w:val="none"/>
          <w14:textFill>
            <w14:solidFill>
              <w14:schemeClr w14:val="tx1"/>
            </w14:solidFill>
          </w14:textFill>
        </w:rPr>
        <w:t>条【用地保障】</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自然资源</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和</w:t>
      </w:r>
      <w:r>
        <w:rPr>
          <w:rFonts w:hint="eastAsia" w:ascii="Times New Roman" w:hAnsi="Times New Roman" w:eastAsia="仿宋_GB2312"/>
          <w:color w:val="000000" w:themeColor="text1"/>
          <w:sz w:val="32"/>
          <w:szCs w:val="32"/>
          <w:highlight w:val="none"/>
          <w14:textFill>
            <w14:solidFill>
              <w14:schemeClr w14:val="tx1"/>
            </w14:solidFill>
          </w14:textFill>
        </w:rPr>
        <w:t>规划部门应当完善工业用地供应机制，推行工业用地“标准地”供应服务模式，可以采用弹性年期出让、先租赁后出让、长期租赁等方式供地，</w:t>
      </w:r>
      <w:r>
        <w:rPr>
          <w:rFonts w:hint="eastAsia" w:ascii="仿宋_GB2312" w:hAnsi="仿宋_GB2312" w:eastAsia="仿宋_GB2312" w:cs="仿宋_GB2312"/>
          <w:color w:val="000000" w:themeColor="text1"/>
          <w:sz w:val="32"/>
          <w:szCs w:val="32"/>
          <w:highlight w:val="none"/>
          <w14:textFill>
            <w14:solidFill>
              <w14:schemeClr w14:val="tx1"/>
            </w14:solidFill>
          </w14:textFill>
        </w:rPr>
        <w:t>并合理确定土地使用年限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鼓励民营经济组织通过产业更新、厂区改造等方式盘活低效用地，提高土地利用效率。</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五十五</w:t>
      </w:r>
      <w:r>
        <w:rPr>
          <w:rFonts w:hint="eastAsia" w:ascii="Times New Roman" w:hAnsi="Times New Roman" w:eastAsia="黑体"/>
          <w:color w:val="000000" w:themeColor="text1"/>
          <w:sz w:val="32"/>
          <w:szCs w:val="32"/>
          <w:highlight w:val="none"/>
          <w14:textFill>
            <w14:solidFill>
              <w14:schemeClr w14:val="tx1"/>
            </w14:solidFill>
          </w14:textFill>
        </w:rPr>
        <w:t>条【</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党建引领</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民营经济组织应当加强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民营经济</w:t>
      </w:r>
      <w:r>
        <w:rPr>
          <w:rFonts w:hint="eastAsia" w:ascii="Times New Roman" w:hAnsi="Times New Roman" w:eastAsia="仿宋_GB2312"/>
          <w:color w:val="000000" w:themeColor="text1"/>
          <w:sz w:val="32"/>
          <w:szCs w:val="32"/>
          <w:highlight w:val="none"/>
          <w14:textFill>
            <w14:solidFill>
              <w14:schemeClr w14:val="tx1"/>
            </w14:solidFill>
          </w14:textFill>
        </w:rPr>
        <w:t>党建工作，为中国共产党在其组织中设立的基层党组织的活动提供必要条件，支持发挥党组织的政治引领作用和党员先锋模范作用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以高质量党建赋能民营经济规范健康发展。</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五十六</w:t>
      </w:r>
      <w:r>
        <w:rPr>
          <w:rFonts w:hint="eastAsia" w:ascii="Times New Roman" w:hAnsi="Times New Roman" w:eastAsia="黑体"/>
          <w:color w:val="000000" w:themeColor="text1"/>
          <w:sz w:val="32"/>
          <w:szCs w:val="32"/>
          <w:highlight w:val="none"/>
          <w14:textFill>
            <w14:solidFill>
              <w14:schemeClr w14:val="tx1"/>
            </w14:solidFill>
          </w14:textFill>
        </w:rPr>
        <w:t>条【</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工会保障</w:t>
      </w:r>
      <w:r>
        <w:rPr>
          <w:rFonts w:hint="eastAsia" w:ascii="Times New Roman" w:hAnsi="Times New Roman" w:eastAsia="黑体"/>
          <w:color w:val="000000" w:themeColor="text1"/>
          <w:sz w:val="32"/>
          <w:szCs w:val="32"/>
          <w:highlight w:val="none"/>
          <w14:textFill>
            <w14:solidFill>
              <w14:schemeClr w14:val="tx1"/>
            </w14:solidFill>
          </w14:textFill>
        </w:rPr>
        <w:t>】</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14:textFill>
            <w14:solidFill>
              <w14:schemeClr w14:val="tx1"/>
            </w14:solidFill>
          </w14:textFill>
        </w:rPr>
        <w:t>民营经济组织中的工会等群团组织依照法律、法规和章程开展活动，加强职工思想政治引领，维护职工合法权益；工会应当发挥在企业民主管理中的作用，推动完善企业工资集体协商制度，促进构建和谐劳动关系。</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第五十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七</w:t>
      </w:r>
      <w:r>
        <w:rPr>
          <w:rFonts w:hint="eastAsia" w:ascii="Times New Roman" w:hAnsi="Times New Roman" w:eastAsia="黑体"/>
          <w:color w:val="000000" w:themeColor="text1"/>
          <w:sz w:val="32"/>
          <w:szCs w:val="32"/>
          <w:highlight w:val="none"/>
          <w14:textFill>
            <w14:solidFill>
              <w14:schemeClr w14:val="tx1"/>
            </w14:solidFill>
          </w14:textFill>
        </w:rPr>
        <w:t>条【社会组织】</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工商业联合会应当发挥政府和民营经济组织间桥梁纽带作用，联系和服务民营经济组织，加强民营经济组织经营者思想政治建设，引导民营经济组织依法经营，维护民营经济组织和民营经济人士的合法权益。</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民营企业家协会等社会组织应当</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发挥</w:t>
      </w:r>
      <w:r>
        <w:rPr>
          <w:rFonts w:hint="eastAsia" w:ascii="Times New Roman" w:hAnsi="Times New Roman" w:eastAsia="仿宋_GB2312"/>
          <w:color w:val="000000" w:themeColor="text1"/>
          <w:sz w:val="32"/>
          <w:szCs w:val="32"/>
          <w:highlight w:val="none"/>
          <w14:textFill>
            <w14:solidFill>
              <w14:schemeClr w14:val="tx1"/>
            </w14:solidFill>
          </w14:textFill>
        </w:rPr>
        <w:t>协调和自律</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作用</w:t>
      </w:r>
      <w:r>
        <w:rPr>
          <w:rFonts w:hint="eastAsia" w:ascii="Times New Roman" w:hAnsi="Times New Roman" w:eastAsia="仿宋_GB2312"/>
          <w:color w:val="000000" w:themeColor="text1"/>
          <w:sz w:val="32"/>
          <w:szCs w:val="32"/>
          <w:highlight w:val="none"/>
          <w14:textFill>
            <w14:solidFill>
              <w14:schemeClr w14:val="tx1"/>
            </w14:solidFill>
          </w14:textFill>
        </w:rPr>
        <w:t>，及时反映行业诉求</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，为民营经济组织及其经营者提供信息咨询、宣传培训、市场拓展、权益保护、纠纷处理等方面的服务。</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第五十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八</w:t>
      </w:r>
      <w:r>
        <w:rPr>
          <w:rFonts w:hint="eastAsia" w:ascii="Times New Roman" w:hAnsi="Times New Roman" w:eastAsia="黑体"/>
          <w:color w:val="000000" w:themeColor="text1"/>
          <w:sz w:val="32"/>
          <w:szCs w:val="32"/>
          <w:highlight w:val="none"/>
          <w14:textFill>
            <w14:solidFill>
              <w14:schemeClr w14:val="tx1"/>
            </w14:solidFill>
          </w14:textFill>
        </w:rPr>
        <w:t>条【应急援助】</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建立民营经济组织应急援助机制，在发生自然灾害、公共卫生事件等突发事件时，采取租金减免、融资纾困、稳定就业等措施，帮助民营经济组织恢复生产经营。</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第五十</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九</w:t>
      </w:r>
      <w:r>
        <w:rPr>
          <w:rFonts w:hint="eastAsia" w:ascii="Times New Roman" w:hAnsi="Times New Roman" w:eastAsia="黑体"/>
          <w:color w:val="000000" w:themeColor="text1"/>
          <w:sz w:val="32"/>
          <w:szCs w:val="32"/>
          <w:highlight w:val="none"/>
          <w14:textFill>
            <w14:solidFill>
              <w14:schemeClr w14:val="tx1"/>
            </w14:solidFill>
          </w14:textFill>
        </w:rPr>
        <w:t>条【破产协调】</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市、区（市）人民政府</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人民法院应当建立健全企业破产联动协同工作机制，统筹协调破产程序中的企业注销、涉税事项处理、资产处置、职工权益保护等问题，提高企业破产办理便利化程度。</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人民法院应当建立健全企业重整识别机制，对陷入财务困境但是仍具有发展前景和挽救价值的企业，按照市场化、法治化原则，适用破产重整、破产和解程序。</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黑体"/>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第七章</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黑体"/>
          <w:color w:val="000000" w:themeColor="text1"/>
          <w:sz w:val="32"/>
          <w:szCs w:val="32"/>
          <w:highlight w:val="none"/>
          <w14:textFill>
            <w14:solidFill>
              <w14:schemeClr w14:val="tx1"/>
            </w14:solidFill>
          </w14:textFill>
        </w:rPr>
        <w:t>附则</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六十</w:t>
      </w:r>
      <w:r>
        <w:rPr>
          <w:rFonts w:hint="eastAsia" w:ascii="Times New Roman" w:hAnsi="Times New Roman" w:eastAsia="黑体"/>
          <w:color w:val="000000" w:themeColor="text1"/>
          <w:sz w:val="32"/>
          <w:szCs w:val="32"/>
          <w:highlight w:val="none"/>
          <w14:textFill>
            <w14:solidFill>
              <w14:schemeClr w14:val="tx1"/>
            </w14:solidFill>
          </w14:textFill>
        </w:rPr>
        <w:t>条【参照适用】</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民营经济组织涉及外商投资的，同时适用外商投资法律、法规的相关规定。</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bookmarkStart w:id="1" w:name="_GoBack"/>
      <w:bookmarkEnd w:id="1"/>
      <w:r>
        <w:rPr>
          <w:rFonts w:hint="eastAsia" w:ascii="Times New Roman" w:hAnsi="Times New Roman" w:eastAsia="黑体"/>
          <w:color w:val="000000" w:themeColor="text1"/>
          <w:sz w:val="32"/>
          <w:szCs w:val="32"/>
          <w:highlight w:val="none"/>
          <w14:textFill>
            <w14:solidFill>
              <w14:schemeClr w14:val="tx1"/>
            </w14:solidFill>
          </w14:textFill>
        </w:rPr>
        <w:t>第</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六十一</w:t>
      </w:r>
      <w:r>
        <w:rPr>
          <w:rFonts w:hint="eastAsia" w:ascii="Times New Roman" w:hAnsi="Times New Roman" w:eastAsia="黑体"/>
          <w:color w:val="000000" w:themeColor="text1"/>
          <w:sz w:val="32"/>
          <w:szCs w:val="32"/>
          <w:highlight w:val="none"/>
          <w14:textFill>
            <w14:solidFill>
              <w14:schemeClr w14:val="tx1"/>
            </w14:solidFill>
          </w14:textFill>
        </w:rPr>
        <w:t>条【施行日期】</w:t>
      </w:r>
      <w:r>
        <w:rPr>
          <w:rFonts w:hint="eastAsia" w:ascii="Times New Roman" w:hAnsi="Times New Roman" w:eastAsia="黑体"/>
          <w:color w:val="000000" w:themeColor="text1"/>
          <w:sz w:val="32"/>
          <w:szCs w:val="32"/>
          <w:highlight w:val="none"/>
          <w:lang w:eastAsia="zh-CN"/>
          <w14:textFill>
            <w14:solidFill>
              <w14:schemeClr w14:val="tx1"/>
            </w14:solidFill>
          </w14:textFill>
        </w:rPr>
        <w:t>　</w:t>
      </w:r>
      <w:r>
        <w:rPr>
          <w:rFonts w:hint="eastAsia" w:ascii="Times New Roman" w:hAnsi="Times New Roman" w:eastAsia="仿宋_GB2312"/>
          <w:color w:val="000000" w:themeColor="text1"/>
          <w:sz w:val="32"/>
          <w:szCs w:val="32"/>
          <w:highlight w:val="none"/>
          <w14:textFill>
            <w14:solidFill>
              <w14:schemeClr w14:val="tx1"/>
            </w14:solidFill>
          </w14:textFill>
        </w:rPr>
        <w:t>本条例自2026年X月X日起施行。</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sectPr>
      <w:footerReference r:id="rId3" w:type="default"/>
      <w:pgSz w:w="11906" w:h="16838"/>
      <w:pgMar w:top="2098" w:right="1587" w:bottom="1984" w:left="1587" w:header="720" w:footer="141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compressPunctuation"/>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23CE"/>
    <w:rsid w:val="007C717F"/>
    <w:rsid w:val="015E6884"/>
    <w:rsid w:val="01722330"/>
    <w:rsid w:val="01AE7D07"/>
    <w:rsid w:val="02316B01"/>
    <w:rsid w:val="0233386D"/>
    <w:rsid w:val="023C403F"/>
    <w:rsid w:val="028440C8"/>
    <w:rsid w:val="029E162E"/>
    <w:rsid w:val="02BC02E4"/>
    <w:rsid w:val="02BF0BAC"/>
    <w:rsid w:val="02DD1D38"/>
    <w:rsid w:val="036C052D"/>
    <w:rsid w:val="03AB317D"/>
    <w:rsid w:val="03C631ED"/>
    <w:rsid w:val="04001E75"/>
    <w:rsid w:val="05502E3D"/>
    <w:rsid w:val="058D45E3"/>
    <w:rsid w:val="05DA136E"/>
    <w:rsid w:val="06C058CD"/>
    <w:rsid w:val="076109AB"/>
    <w:rsid w:val="07885712"/>
    <w:rsid w:val="08106216"/>
    <w:rsid w:val="086C6C1F"/>
    <w:rsid w:val="08713341"/>
    <w:rsid w:val="08AA7259"/>
    <w:rsid w:val="08BF13B8"/>
    <w:rsid w:val="08FF3F01"/>
    <w:rsid w:val="09067F2D"/>
    <w:rsid w:val="097340F9"/>
    <w:rsid w:val="09853696"/>
    <w:rsid w:val="098552F6"/>
    <w:rsid w:val="09DC47EA"/>
    <w:rsid w:val="0A7669ED"/>
    <w:rsid w:val="0A9E7CF1"/>
    <w:rsid w:val="0AC0410C"/>
    <w:rsid w:val="0B5A2A0E"/>
    <w:rsid w:val="0CE53700"/>
    <w:rsid w:val="0D3443CA"/>
    <w:rsid w:val="0E4A5EBD"/>
    <w:rsid w:val="0F19203C"/>
    <w:rsid w:val="11A02087"/>
    <w:rsid w:val="11D85457"/>
    <w:rsid w:val="126426D5"/>
    <w:rsid w:val="12C80001"/>
    <w:rsid w:val="13141F14"/>
    <w:rsid w:val="13286CF2"/>
    <w:rsid w:val="13552D8B"/>
    <w:rsid w:val="136A10B9"/>
    <w:rsid w:val="13EA00CD"/>
    <w:rsid w:val="141A74A2"/>
    <w:rsid w:val="14FA7C6E"/>
    <w:rsid w:val="15C07181"/>
    <w:rsid w:val="15EF1E88"/>
    <w:rsid w:val="163F4A71"/>
    <w:rsid w:val="165C118C"/>
    <w:rsid w:val="16C136E5"/>
    <w:rsid w:val="16F704C0"/>
    <w:rsid w:val="17035AAC"/>
    <w:rsid w:val="17304BCD"/>
    <w:rsid w:val="1775586B"/>
    <w:rsid w:val="178607D4"/>
    <w:rsid w:val="1A361CF4"/>
    <w:rsid w:val="1AAD38BA"/>
    <w:rsid w:val="1AD26D37"/>
    <w:rsid w:val="1C4A39CA"/>
    <w:rsid w:val="1C8C6E3B"/>
    <w:rsid w:val="1C91112B"/>
    <w:rsid w:val="1D232A04"/>
    <w:rsid w:val="1D3F2155"/>
    <w:rsid w:val="1D6333DE"/>
    <w:rsid w:val="1D7E5E8C"/>
    <w:rsid w:val="1E1A5D2C"/>
    <w:rsid w:val="1E4C7426"/>
    <w:rsid w:val="1E966D88"/>
    <w:rsid w:val="1F30765A"/>
    <w:rsid w:val="1F667ECB"/>
    <w:rsid w:val="1F6D61B8"/>
    <w:rsid w:val="21004A3B"/>
    <w:rsid w:val="21260D15"/>
    <w:rsid w:val="23AB2B2B"/>
    <w:rsid w:val="23E40A13"/>
    <w:rsid w:val="247F027C"/>
    <w:rsid w:val="255C7F9B"/>
    <w:rsid w:val="264D1C9D"/>
    <w:rsid w:val="27266C7B"/>
    <w:rsid w:val="28357A8F"/>
    <w:rsid w:val="29001E4B"/>
    <w:rsid w:val="29200286"/>
    <w:rsid w:val="297070D8"/>
    <w:rsid w:val="2AA31B91"/>
    <w:rsid w:val="2AD41F48"/>
    <w:rsid w:val="2AF8127C"/>
    <w:rsid w:val="2BA342CE"/>
    <w:rsid w:val="2C3E4758"/>
    <w:rsid w:val="2CD755B9"/>
    <w:rsid w:val="2D1166CA"/>
    <w:rsid w:val="2DD41AF8"/>
    <w:rsid w:val="2F3D7961"/>
    <w:rsid w:val="2FE02BB4"/>
    <w:rsid w:val="3014746B"/>
    <w:rsid w:val="302C0E04"/>
    <w:rsid w:val="31145AFC"/>
    <w:rsid w:val="3201476C"/>
    <w:rsid w:val="320A7220"/>
    <w:rsid w:val="322C0680"/>
    <w:rsid w:val="322F5B81"/>
    <w:rsid w:val="326F1DF0"/>
    <w:rsid w:val="32AA2E28"/>
    <w:rsid w:val="32BD1870"/>
    <w:rsid w:val="32FD4958"/>
    <w:rsid w:val="34AE4E51"/>
    <w:rsid w:val="34EE381F"/>
    <w:rsid w:val="35BA15D4"/>
    <w:rsid w:val="35D64BF1"/>
    <w:rsid w:val="35F03980"/>
    <w:rsid w:val="36254176"/>
    <w:rsid w:val="36883480"/>
    <w:rsid w:val="37133850"/>
    <w:rsid w:val="37C309D9"/>
    <w:rsid w:val="381178FA"/>
    <w:rsid w:val="3847606F"/>
    <w:rsid w:val="388A34DF"/>
    <w:rsid w:val="39FF2797"/>
    <w:rsid w:val="3AA06FEA"/>
    <w:rsid w:val="3C115BCF"/>
    <w:rsid w:val="3C677EC4"/>
    <w:rsid w:val="3CBE5E4E"/>
    <w:rsid w:val="3CE5366A"/>
    <w:rsid w:val="3CE61834"/>
    <w:rsid w:val="3CE67488"/>
    <w:rsid w:val="3D3B262F"/>
    <w:rsid w:val="3D931088"/>
    <w:rsid w:val="3D9A2417"/>
    <w:rsid w:val="3E0D7718"/>
    <w:rsid w:val="3F9C0A07"/>
    <w:rsid w:val="3FE060DB"/>
    <w:rsid w:val="400221AC"/>
    <w:rsid w:val="40416B7A"/>
    <w:rsid w:val="408D183C"/>
    <w:rsid w:val="40D21EC7"/>
    <w:rsid w:val="41D53675"/>
    <w:rsid w:val="41F45E6E"/>
    <w:rsid w:val="425012F6"/>
    <w:rsid w:val="42786A9F"/>
    <w:rsid w:val="42E74D08"/>
    <w:rsid w:val="434500D6"/>
    <w:rsid w:val="43994F1E"/>
    <w:rsid w:val="43CB4100"/>
    <w:rsid w:val="445B15B3"/>
    <w:rsid w:val="44BD7C16"/>
    <w:rsid w:val="44E126D9"/>
    <w:rsid w:val="450A55F8"/>
    <w:rsid w:val="45421E3C"/>
    <w:rsid w:val="455F1E12"/>
    <w:rsid w:val="458B0897"/>
    <w:rsid w:val="45B63B66"/>
    <w:rsid w:val="45E74561"/>
    <w:rsid w:val="46D66444"/>
    <w:rsid w:val="46DC43BD"/>
    <w:rsid w:val="47912A3E"/>
    <w:rsid w:val="47A10846"/>
    <w:rsid w:val="47B24801"/>
    <w:rsid w:val="486C641C"/>
    <w:rsid w:val="48965ED0"/>
    <w:rsid w:val="48A842A9"/>
    <w:rsid w:val="4ADC1327"/>
    <w:rsid w:val="4B9A5CD8"/>
    <w:rsid w:val="4C3E6663"/>
    <w:rsid w:val="4C4C7200"/>
    <w:rsid w:val="4D086A7E"/>
    <w:rsid w:val="4D6438A3"/>
    <w:rsid w:val="4DF72F6D"/>
    <w:rsid w:val="4DFE60AA"/>
    <w:rsid w:val="4E3C6BD2"/>
    <w:rsid w:val="4E5A52AA"/>
    <w:rsid w:val="4F0E46D7"/>
    <w:rsid w:val="4F1B5077"/>
    <w:rsid w:val="4F546349"/>
    <w:rsid w:val="4FD413AD"/>
    <w:rsid w:val="503201EC"/>
    <w:rsid w:val="503620FE"/>
    <w:rsid w:val="50454464"/>
    <w:rsid w:val="51B3364F"/>
    <w:rsid w:val="52F65C9A"/>
    <w:rsid w:val="539809CB"/>
    <w:rsid w:val="53B92A73"/>
    <w:rsid w:val="53C5766A"/>
    <w:rsid w:val="5402266C"/>
    <w:rsid w:val="54482775"/>
    <w:rsid w:val="546D719C"/>
    <w:rsid w:val="54B55930"/>
    <w:rsid w:val="55BF2A09"/>
    <w:rsid w:val="56336B8E"/>
    <w:rsid w:val="566D64C3"/>
    <w:rsid w:val="56C22086"/>
    <w:rsid w:val="56EF5643"/>
    <w:rsid w:val="58393981"/>
    <w:rsid w:val="58447EA4"/>
    <w:rsid w:val="58A502F2"/>
    <w:rsid w:val="58E222C3"/>
    <w:rsid w:val="59891E5B"/>
    <w:rsid w:val="59AD6BD6"/>
    <w:rsid w:val="5A4C2893"/>
    <w:rsid w:val="5AC10CD0"/>
    <w:rsid w:val="5AD00DCE"/>
    <w:rsid w:val="5B082265"/>
    <w:rsid w:val="5BD80301"/>
    <w:rsid w:val="5C64723B"/>
    <w:rsid w:val="5E057603"/>
    <w:rsid w:val="5E230DAD"/>
    <w:rsid w:val="5E5C55A2"/>
    <w:rsid w:val="5E8F2D4E"/>
    <w:rsid w:val="5EDF4EE7"/>
    <w:rsid w:val="5EE66E12"/>
    <w:rsid w:val="5F75403A"/>
    <w:rsid w:val="605F2313"/>
    <w:rsid w:val="60D51248"/>
    <w:rsid w:val="62522A10"/>
    <w:rsid w:val="62880EB7"/>
    <w:rsid w:val="628A3F58"/>
    <w:rsid w:val="62E567C3"/>
    <w:rsid w:val="62FE0617"/>
    <w:rsid w:val="63400264"/>
    <w:rsid w:val="63B84AF5"/>
    <w:rsid w:val="64763E74"/>
    <w:rsid w:val="64D44664"/>
    <w:rsid w:val="650B7A38"/>
    <w:rsid w:val="65420B1A"/>
    <w:rsid w:val="661B6A14"/>
    <w:rsid w:val="66620AAF"/>
    <w:rsid w:val="66907529"/>
    <w:rsid w:val="66AB26EF"/>
    <w:rsid w:val="66D40616"/>
    <w:rsid w:val="66DC6D4D"/>
    <w:rsid w:val="67931B01"/>
    <w:rsid w:val="67957627"/>
    <w:rsid w:val="67B6396A"/>
    <w:rsid w:val="687C4343"/>
    <w:rsid w:val="68B83031"/>
    <w:rsid w:val="68E32613"/>
    <w:rsid w:val="68F3571A"/>
    <w:rsid w:val="69E93B36"/>
    <w:rsid w:val="69F9444E"/>
    <w:rsid w:val="6A010FA4"/>
    <w:rsid w:val="6A2B4273"/>
    <w:rsid w:val="6A333127"/>
    <w:rsid w:val="6AD71D05"/>
    <w:rsid w:val="6BC51DE3"/>
    <w:rsid w:val="6C0B21AE"/>
    <w:rsid w:val="6C221096"/>
    <w:rsid w:val="6C2242A7"/>
    <w:rsid w:val="6CDD7C90"/>
    <w:rsid w:val="6D602485"/>
    <w:rsid w:val="6DDB1F37"/>
    <w:rsid w:val="6E5A5797"/>
    <w:rsid w:val="6E82642B"/>
    <w:rsid w:val="6EB5235D"/>
    <w:rsid w:val="6ECC163F"/>
    <w:rsid w:val="6F7B5355"/>
    <w:rsid w:val="6F963F3C"/>
    <w:rsid w:val="6FBF230E"/>
    <w:rsid w:val="70425E72"/>
    <w:rsid w:val="704503CA"/>
    <w:rsid w:val="710F6A7D"/>
    <w:rsid w:val="713A51BB"/>
    <w:rsid w:val="713F6856"/>
    <w:rsid w:val="71633483"/>
    <w:rsid w:val="716D512F"/>
    <w:rsid w:val="7258372B"/>
    <w:rsid w:val="73BF4107"/>
    <w:rsid w:val="73C117A4"/>
    <w:rsid w:val="74FBBB43"/>
    <w:rsid w:val="74FF1E66"/>
    <w:rsid w:val="757A28F6"/>
    <w:rsid w:val="75AD0232"/>
    <w:rsid w:val="75B415C0"/>
    <w:rsid w:val="77473FC1"/>
    <w:rsid w:val="77512CAA"/>
    <w:rsid w:val="777D13A3"/>
    <w:rsid w:val="779B6086"/>
    <w:rsid w:val="79E854D8"/>
    <w:rsid w:val="7A4543A9"/>
    <w:rsid w:val="7AD5D7C3"/>
    <w:rsid w:val="7B0116D1"/>
    <w:rsid w:val="7C0E6296"/>
    <w:rsid w:val="7C3C40BE"/>
    <w:rsid w:val="7C3C5E6C"/>
    <w:rsid w:val="7C823A4A"/>
    <w:rsid w:val="7CA938FD"/>
    <w:rsid w:val="7DF87B15"/>
    <w:rsid w:val="7E0806FB"/>
    <w:rsid w:val="7E447259"/>
    <w:rsid w:val="7E490E10"/>
    <w:rsid w:val="7E971BA5"/>
    <w:rsid w:val="7EEB3B79"/>
    <w:rsid w:val="7EFDDA97"/>
    <w:rsid w:val="7F80640E"/>
    <w:rsid w:val="7FDE4888"/>
    <w:rsid w:val="9A3FCFDA"/>
    <w:rsid w:val="9DBE0552"/>
    <w:rsid w:val="9DED1A5B"/>
    <w:rsid w:val="A7EEBFDC"/>
    <w:rsid w:val="AFEAC9AF"/>
    <w:rsid w:val="BDEE4AFD"/>
    <w:rsid w:val="BFFF04C2"/>
    <w:rsid w:val="DFAA26FA"/>
    <w:rsid w:val="EF67E667"/>
    <w:rsid w:val="F7F71878"/>
    <w:rsid w:val="F9E377B6"/>
    <w:rsid w:val="FA2DFD15"/>
    <w:rsid w:val="FAEBAE5C"/>
    <w:rsid w:val="FCFC4C22"/>
    <w:rsid w:val="FD5F286C"/>
    <w:rsid w:val="FDDDC564"/>
    <w:rsid w:val="FE7E47A8"/>
    <w:rsid w:val="FF7779ED"/>
    <w:rsid w:val="FFDAF1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Body Text Indent 2"/>
    <w:basedOn w:val="1"/>
    <w:next w:val="5"/>
    <w:qFormat/>
    <w:uiPriority w:val="0"/>
    <w:pPr>
      <w:spacing w:beforeLines="0" w:after="120" w:afterLines="0" w:line="480" w:lineRule="auto"/>
      <w:ind w:left="420"/>
    </w:pPr>
    <w:rPr>
      <w:rFonts w:hint="default" w:ascii="Calibri"/>
      <w:color w:val="000000"/>
      <w:sz w:val="21"/>
      <w:u w:val="none" w:color="000000"/>
    </w:rPr>
  </w:style>
  <w:style w:type="paragraph" w:customStyle="1" w:styleId="5">
    <w:name w:val="reader-word-layer reader-word-s46-2"/>
    <w:basedOn w:val="1"/>
    <w:next w:val="6"/>
    <w:qFormat/>
    <w:uiPriority w:val="0"/>
    <w:pPr>
      <w:widowControl/>
      <w:spacing w:before="280" w:after="280"/>
    </w:pPr>
    <w:rPr>
      <w:rFonts w:ascii="宋体"/>
      <w:sz w:val="24"/>
    </w:rPr>
  </w:style>
  <w:style w:type="paragraph" w:customStyle="1" w:styleId="6">
    <w:name w:val="xl35"/>
    <w:basedOn w:val="1"/>
    <w:next w:val="1"/>
    <w:qFormat/>
    <w:uiPriority w:val="0"/>
    <w:pPr>
      <w:widowControl/>
      <w:shd w:val="clear" w:color="FFFFFF" w:fill="FFFFFF"/>
      <w:spacing w:before="280" w:after="280"/>
    </w:pPr>
    <w:rPr>
      <w:rFonts w:ascii="Arial Unicode MS" w:eastAsia="Arial Unicode MS"/>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BodyText"/>
    <w:basedOn w:val="1"/>
    <w:qFormat/>
    <w:uiPriority w:val="0"/>
    <w:pPr>
      <w:spacing w:after="120"/>
    </w:pPr>
  </w:style>
  <w:style w:type="paragraph" w:customStyle="1" w:styleId="12">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13">
    <w:name w:val="fulltext-wrap_title"/>
    <w:basedOn w:val="1"/>
    <w:qFormat/>
    <w:uiPriority w:val="0"/>
    <w:pPr>
      <w:jc w:val="center"/>
    </w:pPr>
    <w:rPr>
      <w:sz w:val="30"/>
      <w:szCs w:val="30"/>
    </w:rPr>
  </w:style>
  <w:style w:type="character" w:customStyle="1" w:styleId="14">
    <w:name w:val="fulltext-wrap_navtiao"/>
    <w:basedOn w:val="10"/>
    <w:qFormat/>
    <w:uiPriority w:val="0"/>
    <w:rPr>
      <w:b/>
      <w:bCs/>
    </w:rPr>
  </w:style>
  <w:style w:type="character" w:customStyle="1" w:styleId="15">
    <w:name w:val="fulltext-wrap_fulltext_a"/>
    <w:basedOn w:val="10"/>
    <w:qFormat/>
    <w:uiPriority w:val="0"/>
    <w:rPr>
      <w:color w:val="218FC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7834</Words>
  <Characters>7837</Characters>
  <TotalTime>10</TotalTime>
  <ScaleCrop>false</ScaleCrop>
  <LinksUpToDate>false</LinksUpToDate>
  <CharactersWithSpaces>7929</CharactersWithSpaces>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2026-05-10T21:09:00Z</dcterms:created>
  <dc:creator>Administrator</dc:creator>
  <cp:lastModifiedBy>user</cp:lastModifiedBy>
  <dcterms:modified xsi:type="dcterms:W3CDTF">2026-06-13T09:48:03Z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E62D770045004A1DA0E5753ECAFF169B_13</vt:lpwstr>
  </property>
  <property fmtid="{D5CDD505-2E9C-101B-9397-08002B2CF9AE}" pid="4" name="KSOTemplateDocerSaveRecord">
    <vt:lpwstr>eyJoZGlkIjoiMWFjNTU4MmE0YWU1NmY3M2M2Y2MxNTBiNDlkNGE2ZGIiLCJ1c2VySWQiOiIyNzQzNzk2ODAifQ==</vt:lpwstr>
  </property>
</Properties>
</file>