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Lines="125" w:afterAutospacing="0" w:line="480" w:lineRule="exact"/>
        <w:jc w:val="center"/>
        <w:rPr>
          <w:rFonts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lang w:eastAsia="zh-CN"/>
        </w:rPr>
        <w:t>枣庄市发展和改革委员会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竞争性谈判邀请函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2021年应急物资储备采购项目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</w:t>
      </w:r>
    </w:p>
    <w:p>
      <w:pPr>
        <w:pStyle w:val="6"/>
        <w:shd w:val="clear" w:color="auto" w:fill="FFFFFF"/>
        <w:spacing w:beforeLines="75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枣庄市发展和改革委员会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拟以竞争性谈判方式采购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u w:val="single"/>
          <w:lang w:eastAsia="zh-CN"/>
        </w:rPr>
        <w:t>应急储备物资一批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，现将有关事项说明如下：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一、注意事项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1．供应商须遵循《中华人民共和国政府采购法》第二章中第二十二条规定，就以下采购需求中的相关要求，向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我单位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做出书面报价，并按谈判小组要求作出二次报价（请提前为二次报价函加盖公章）。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2．成交原则：在符合采购需求、质量和技术标准等且不超过预算的前提下，以二次报价最低的供应商作为成交供应商。供应商报价和承诺一经认可，即为成交的合同价。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超出采购预算、技术要求不达标或报价材料不符合要求的报价视为无效报价。如出现至报价截止时间提交报价文件的供应商少于3家情形的，本次竞争性谈判采购作废。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3．供应商如对本邀请函报价，即不可撤回。否则，该供应商在今后一年内不得参与本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的所有采购活动。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4．本项目</w:t>
      </w:r>
      <w:r>
        <w:rPr>
          <w:rFonts w:hint="eastAsia"/>
          <w:sz w:val="28"/>
          <w:szCs w:val="28"/>
        </w:rPr>
        <w:t>谈判</w:t>
      </w:r>
      <w:r>
        <w:rPr>
          <w:rFonts w:hint="eastAsia" w:asciiTheme="minorEastAsia" w:hAnsiTheme="minorEastAsia" w:eastAsiaTheme="minorEastAsia"/>
          <w:sz w:val="28"/>
          <w:szCs w:val="28"/>
        </w:rPr>
        <w:t>邀请</w:t>
      </w:r>
      <w:r>
        <w:rPr>
          <w:rFonts w:hint="eastAsia"/>
          <w:sz w:val="28"/>
          <w:szCs w:val="28"/>
        </w:rPr>
        <w:t>函、供应商报价函及报价函附属材料均属本项目合同的组成部分。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二、采购需求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505"/>
        <w:gridCol w:w="168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包号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购置数量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帐篷（单）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3.2*3.7*2.65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顶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折叠床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1.96*0.94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折叠床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1.96*0.94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D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E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棉大衣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棉被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1.5M*2M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F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毛巾被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1.5M*2M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G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移动厕所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帐篷型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H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救生衣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件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防潮垫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防雨服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大型场地移动照明灯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SFW6131B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三、采购预算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人民币：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u w:val="single"/>
          <w:lang w:val="en-US" w:eastAsia="zh-CN"/>
        </w:rPr>
        <w:t>483.56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元（大写：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u w:val="single"/>
          <w:lang w:eastAsia="zh-CN"/>
        </w:rPr>
        <w:t>肆佰捌拾叁万伍仟陆佰元整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四、报价供应商资质要求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1、基本条件：符合《中华人民共和国政府采购法》第二十二条、《中华人民共和国政府采购法实施条例》第十七、十八条的相关规定；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2、在中国境内注册的独立法人，持有有效的营业执照，营业执照中具有相应的经营范围；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3、供应商须在中华人民共和国境内注册的，并在人员、设备、资金等方面具有相应的技术服务能力、具有完善的售后服务体系；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4、供应商近三年没有被“信用中国”网站、“中国政府采购网”网站列入失信被执行人、重大税收违法案件当事人名单、政府采购严重违法失信行为记录名单的或被“信用中国”网站、“中国政府采购网”网站列入失信被执行人、重大税收违法案件当事人名单、政府采购严重违法失信行为记录名单的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5、本项目不接受联合体报名。 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、报价函编制要求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1．</w:t>
      </w:r>
      <w:r>
        <w:rPr>
          <w:rFonts w:hint="eastAsia"/>
          <w:sz w:val="28"/>
          <w:szCs w:val="28"/>
        </w:rPr>
        <w:t>报价函中必须包括以下文件：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（1）营业执照副本（复印件</w:t>
      </w:r>
      <w:r>
        <w:rPr>
          <w:rFonts w:hint="eastAsia" w:asciiTheme="minorEastAsia" w:hAnsiTheme="minorEastAsia" w:eastAsiaTheme="minor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</w:t>
      </w:r>
      <w:r>
        <w:rPr>
          <w:rFonts w:hint="eastAsia" w:asciiTheme="minorEastAsia" w:hAnsiTheme="minorEastAsia" w:eastAsiaTheme="minor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盖公章）；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（2）资质证书（复印件</w:t>
      </w:r>
      <w:r>
        <w:rPr>
          <w:rFonts w:hint="eastAsia" w:asciiTheme="minorEastAsia" w:hAnsiTheme="minorEastAsia" w:eastAsiaTheme="minor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</w:t>
      </w:r>
      <w:r>
        <w:rPr>
          <w:rFonts w:hint="eastAsia" w:asciiTheme="minorEastAsia" w:hAnsiTheme="minorEastAsia" w:eastAsiaTheme="minor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盖公章）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（3）法人代表授权证书（法人签字并</w:t>
      </w:r>
      <w:r>
        <w:rPr>
          <w:rFonts w:hint="eastAsia" w:asciiTheme="minorEastAsia" w:hAnsiTheme="minorEastAsia" w:eastAsiaTheme="minor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盖公章）；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（4）法人身份证复印件及联系方式；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采购需求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清单报价表（</w:t>
      </w:r>
      <w:r>
        <w:rPr>
          <w:rFonts w:hint="eastAsia" w:asciiTheme="minorEastAsia" w:hAnsiTheme="minorEastAsia" w:eastAsiaTheme="minor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盖公章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）；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6）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质量保证和售后维保方案。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．报价函及相关文件资料一式三份（正本1份、副本2份），密封</w:t>
      </w:r>
      <w:r>
        <w:rPr>
          <w:rFonts w:hint="eastAsia" w:asciiTheme="minorEastAsia" w:hAnsiTheme="minorEastAsia" w:eastAsiaTheme="minorEastAsia"/>
          <w:sz w:val="28"/>
          <w:szCs w:val="28"/>
        </w:rPr>
        <w:t>并加盖公章</w:t>
      </w:r>
      <w:r>
        <w:rPr>
          <w:rFonts w:hint="eastAsia"/>
          <w:sz w:val="28"/>
          <w:szCs w:val="28"/>
        </w:rPr>
        <w:t>后递交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我单位</w:t>
      </w:r>
      <w:r>
        <w:rPr>
          <w:rFonts w:hint="eastAsia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、确定成交供应商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谈判小组根据各投标单位的报价、质量保证和售后维保方案等进行评审，满足所有商务要求和技术要求的前提下，按最低评标价法确定成交供应商，并按规定与中标供应商签订合同。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、验收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采购单位将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按行业标准、谈判邀请函要求及合同中的相关条款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通过专业质检机构对物资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进行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抽检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抽检费用由供货方承担，抽检样品由供货方等额补足。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、违约责任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成交供应商如未按合同规定时限进行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供货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或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货物质量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未达到采购要求，则取消其成交资格，同时终止合同。给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造成损失的，供应商须承担赔偿责任。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、付款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全部货物供货完毕并验收合格后支付合同总价款的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95%，剩余5%作为质保金，自验收合格起六个月后无质量问题一次性无息付清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exact"/>
        <w:ind w:left="630" w:leftChars="0"/>
        <w:jc w:val="both"/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  <w:lang w:val="en-US" w:eastAsia="zh-CN"/>
        </w:rPr>
        <w:t>十、</w:t>
      </w: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  <w:lang w:eastAsia="zh-CN"/>
        </w:rPr>
        <w:t>供货工期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exact"/>
        <w:ind w:firstLine="560"/>
        <w:jc w:val="both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确定中标资格之日起五日历天内全部供货完毕。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exact"/>
        <w:ind w:left="630" w:leftChars="0"/>
        <w:jc w:val="both"/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  <w:lang w:val="en-US" w:eastAsia="zh-CN"/>
        </w:rPr>
        <w:t>十一、履约保证金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合同价款的5%。中标单位于确定中标之日起3日内，签订合同之前，向我单位缴纳履约保证金。逾期或拒不缴纳的，视为放弃中标资格，我单位按照排名依次顺延中标单位直至确定最后中标人。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报送截止时间暨谈判时间：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2021年8月1日前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报送地点：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枣庄市新城区枣庄市政务中心114房间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联 系 人：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王兆峰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 xml:space="preserve">  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13406909166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邀请函发出日期：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2021年7月24日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Theme="minorEastAsia" w:hAnsiTheme="minorEastAsia" w:eastAsiaTheme="minorEastAsia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Theme="minorEastAsia" w:hAnsiTheme="minorEastAsia" w:eastAsiaTheme="minorEastAsia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附件1：</w:t>
      </w:r>
    </w:p>
    <w:p>
      <w:pPr>
        <w:spacing w:afterLines="100" w:line="60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竞争性谈判报价函</w:t>
      </w:r>
    </w:p>
    <w:p>
      <w:pPr>
        <w:spacing w:afterLines="50" w:line="600" w:lineRule="exact"/>
        <w:rPr>
          <w:rFonts w:hint="default" w:cs="仿宋_GB2312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2021年应急物资储备采购项目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</w:rPr>
        <w:t>报价日期：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afterLines="50" w:line="600" w:lineRule="exact"/>
        <w:rPr>
          <w:rFonts w:hint="default" w:cs="仿宋_GB2312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lang w:val="en-US" w:eastAsia="zh-CN"/>
        </w:rPr>
        <w:t>物资名称及包号：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afterLines="50" w:line="600" w:lineRule="exac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枣庄市发展和改革委员会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我方已仔细阅读了贵单位发布的竞争性谈判邀请函的全部内容，我方第一次报价为人民币（大写）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元（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¥</w:t>
      </w:r>
      <w:r>
        <w:rPr>
          <w:rFonts w:hint="eastAsia" w:cs="仿宋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）。我方保证在招标文件要求的工期内（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日历天），按合同约定实施和完成本项目，质量达到标准。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如我方中标，我方承诺在收到中标通知7日内，与采购人签订合同，并在合同约定的期限内高质量的完成合同内容。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我方在此声明，所递交的投标函及有关资料内容完整、真实和准确。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报价单位（盖章）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法定代表人或其授权委托人：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地    址：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电    话：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手机号码：</w:t>
      </w:r>
    </w:p>
    <w:p>
      <w:pPr>
        <w:widowControl/>
        <w:spacing w:line="520" w:lineRule="exact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br w:type="page"/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附件2：</w:t>
      </w:r>
    </w:p>
    <w:p>
      <w:pPr>
        <w:spacing w:afterLines="100" w:line="60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竞争性谈判二次报价函</w:t>
      </w:r>
    </w:p>
    <w:p>
      <w:pPr>
        <w:spacing w:afterLines="50" w:line="600" w:lineRule="exact"/>
        <w:rPr>
          <w:rFonts w:hint="default" w:cs="仿宋_GB2312" w:asciiTheme="minorEastAsia" w:hAnsiTheme="minor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2021年应急物资储备采购项目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</w:rPr>
        <w:t>报价日期：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afterLines="50" w:line="600" w:lineRule="exact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lang w:val="en-US" w:eastAsia="zh-CN"/>
        </w:rPr>
        <w:t>物资名称及包号：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afterLines="50" w:line="600" w:lineRule="exac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枣庄市发展和改革委员会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我方已仔细阅读了贵单位发布的竞争性谈判邀请函的全部内容，我方第二次报价为人民币（大写）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元（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¥</w:t>
      </w:r>
      <w:r>
        <w:rPr>
          <w:rFonts w:hint="eastAsia" w:cs="仿宋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）。我方保证在招标文件要求的工期内（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日历天），按合同约定实施和完成本项目，质量达到标准。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如我方中标，我方承诺在收到中标通知7日内，与采购人签订合同，并在合同约定的期限内高质量的完成合同内容。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我方在此声明，所递交的投标函及有关资料内容完整、真实和准确。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报价单位（盖章）：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法定代表人或其授权委托人：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1"/>
    <w:rsid w:val="00006156"/>
    <w:rsid w:val="00011353"/>
    <w:rsid w:val="000122E8"/>
    <w:rsid w:val="00012C91"/>
    <w:rsid w:val="000158FA"/>
    <w:rsid w:val="00016C8F"/>
    <w:rsid w:val="000303CF"/>
    <w:rsid w:val="000368A4"/>
    <w:rsid w:val="00037159"/>
    <w:rsid w:val="00037FCD"/>
    <w:rsid w:val="00040CB1"/>
    <w:rsid w:val="00041312"/>
    <w:rsid w:val="00044F2A"/>
    <w:rsid w:val="000568CA"/>
    <w:rsid w:val="00060B9D"/>
    <w:rsid w:val="0006516A"/>
    <w:rsid w:val="00070B10"/>
    <w:rsid w:val="00085B22"/>
    <w:rsid w:val="0008700D"/>
    <w:rsid w:val="000916E9"/>
    <w:rsid w:val="00092B9C"/>
    <w:rsid w:val="000931C5"/>
    <w:rsid w:val="00093537"/>
    <w:rsid w:val="000B2727"/>
    <w:rsid w:val="000B6720"/>
    <w:rsid w:val="000B7289"/>
    <w:rsid w:val="000C0BAA"/>
    <w:rsid w:val="000C4E18"/>
    <w:rsid w:val="000C5AD7"/>
    <w:rsid w:val="000D0A0A"/>
    <w:rsid w:val="000D0F72"/>
    <w:rsid w:val="000D5DE9"/>
    <w:rsid w:val="000D67D3"/>
    <w:rsid w:val="000E742F"/>
    <w:rsid w:val="000F047F"/>
    <w:rsid w:val="000F2329"/>
    <w:rsid w:val="000F29B8"/>
    <w:rsid w:val="000F51BE"/>
    <w:rsid w:val="00115A0E"/>
    <w:rsid w:val="00115EFB"/>
    <w:rsid w:val="00124081"/>
    <w:rsid w:val="00124183"/>
    <w:rsid w:val="00125D26"/>
    <w:rsid w:val="00132F61"/>
    <w:rsid w:val="00133B33"/>
    <w:rsid w:val="001349E7"/>
    <w:rsid w:val="00145A5E"/>
    <w:rsid w:val="00150FE6"/>
    <w:rsid w:val="00153649"/>
    <w:rsid w:val="0015516E"/>
    <w:rsid w:val="0016011B"/>
    <w:rsid w:val="001607DF"/>
    <w:rsid w:val="00163C47"/>
    <w:rsid w:val="00165FB3"/>
    <w:rsid w:val="00166F48"/>
    <w:rsid w:val="001732EF"/>
    <w:rsid w:val="001817A8"/>
    <w:rsid w:val="00186888"/>
    <w:rsid w:val="001A0655"/>
    <w:rsid w:val="001A2F8C"/>
    <w:rsid w:val="001A4853"/>
    <w:rsid w:val="001A7310"/>
    <w:rsid w:val="001B4029"/>
    <w:rsid w:val="001B421B"/>
    <w:rsid w:val="001B5023"/>
    <w:rsid w:val="001B7766"/>
    <w:rsid w:val="001D2427"/>
    <w:rsid w:val="001D3E4B"/>
    <w:rsid w:val="001E03A8"/>
    <w:rsid w:val="001E13B4"/>
    <w:rsid w:val="001E20C4"/>
    <w:rsid w:val="001E263D"/>
    <w:rsid w:val="001E5011"/>
    <w:rsid w:val="001E7713"/>
    <w:rsid w:val="001F0C6D"/>
    <w:rsid w:val="001F7562"/>
    <w:rsid w:val="001F756C"/>
    <w:rsid w:val="00202D35"/>
    <w:rsid w:val="0020720A"/>
    <w:rsid w:val="00210EF7"/>
    <w:rsid w:val="00221A9F"/>
    <w:rsid w:val="002234AE"/>
    <w:rsid w:val="00230F55"/>
    <w:rsid w:val="0023192F"/>
    <w:rsid w:val="002319D3"/>
    <w:rsid w:val="00233B6A"/>
    <w:rsid w:val="00236E03"/>
    <w:rsid w:val="00237637"/>
    <w:rsid w:val="0024087F"/>
    <w:rsid w:val="00240CDE"/>
    <w:rsid w:val="002459C5"/>
    <w:rsid w:val="00245B7E"/>
    <w:rsid w:val="002462F9"/>
    <w:rsid w:val="002472E2"/>
    <w:rsid w:val="00250CFF"/>
    <w:rsid w:val="00251F6E"/>
    <w:rsid w:val="00252039"/>
    <w:rsid w:val="002524F3"/>
    <w:rsid w:val="00253E31"/>
    <w:rsid w:val="00255F41"/>
    <w:rsid w:val="00256E76"/>
    <w:rsid w:val="00257875"/>
    <w:rsid w:val="002623D4"/>
    <w:rsid w:val="00271E82"/>
    <w:rsid w:val="002726F2"/>
    <w:rsid w:val="00272E23"/>
    <w:rsid w:val="00276EEF"/>
    <w:rsid w:val="00280378"/>
    <w:rsid w:val="00280943"/>
    <w:rsid w:val="00283143"/>
    <w:rsid w:val="00291407"/>
    <w:rsid w:val="00291502"/>
    <w:rsid w:val="002A31C0"/>
    <w:rsid w:val="002A5602"/>
    <w:rsid w:val="002A5F6B"/>
    <w:rsid w:val="002A6AE6"/>
    <w:rsid w:val="002A6D12"/>
    <w:rsid w:val="002B2C3C"/>
    <w:rsid w:val="002B2F78"/>
    <w:rsid w:val="002B30DB"/>
    <w:rsid w:val="002C0865"/>
    <w:rsid w:val="002C3ACC"/>
    <w:rsid w:val="002C5EFF"/>
    <w:rsid w:val="002D7D66"/>
    <w:rsid w:val="002E0399"/>
    <w:rsid w:val="002E107A"/>
    <w:rsid w:val="002E27A0"/>
    <w:rsid w:val="002E3E96"/>
    <w:rsid w:val="00303643"/>
    <w:rsid w:val="003050A4"/>
    <w:rsid w:val="00311B09"/>
    <w:rsid w:val="00312387"/>
    <w:rsid w:val="00313AE7"/>
    <w:rsid w:val="0032589E"/>
    <w:rsid w:val="003260C2"/>
    <w:rsid w:val="0032697D"/>
    <w:rsid w:val="00326C03"/>
    <w:rsid w:val="003317C7"/>
    <w:rsid w:val="0034094B"/>
    <w:rsid w:val="00341C17"/>
    <w:rsid w:val="003467DE"/>
    <w:rsid w:val="00346F52"/>
    <w:rsid w:val="00352EB2"/>
    <w:rsid w:val="00357654"/>
    <w:rsid w:val="003603D9"/>
    <w:rsid w:val="00366354"/>
    <w:rsid w:val="003706F4"/>
    <w:rsid w:val="003728B9"/>
    <w:rsid w:val="0037569F"/>
    <w:rsid w:val="00376F51"/>
    <w:rsid w:val="00384150"/>
    <w:rsid w:val="00390BAF"/>
    <w:rsid w:val="00393020"/>
    <w:rsid w:val="00393628"/>
    <w:rsid w:val="00396564"/>
    <w:rsid w:val="003A0AF7"/>
    <w:rsid w:val="003A4903"/>
    <w:rsid w:val="003A7148"/>
    <w:rsid w:val="003B24E0"/>
    <w:rsid w:val="003B24F9"/>
    <w:rsid w:val="003B26DF"/>
    <w:rsid w:val="003C36D3"/>
    <w:rsid w:val="003D4A1E"/>
    <w:rsid w:val="003D57DB"/>
    <w:rsid w:val="003E2C3A"/>
    <w:rsid w:val="003E339F"/>
    <w:rsid w:val="003F0525"/>
    <w:rsid w:val="003F2061"/>
    <w:rsid w:val="003F30A5"/>
    <w:rsid w:val="003F621C"/>
    <w:rsid w:val="004031F6"/>
    <w:rsid w:val="004130EA"/>
    <w:rsid w:val="00413D6E"/>
    <w:rsid w:val="00414948"/>
    <w:rsid w:val="004258C7"/>
    <w:rsid w:val="00426129"/>
    <w:rsid w:val="00427628"/>
    <w:rsid w:val="00432371"/>
    <w:rsid w:val="00443706"/>
    <w:rsid w:val="00444F7B"/>
    <w:rsid w:val="00444FFA"/>
    <w:rsid w:val="00447519"/>
    <w:rsid w:val="00461D9D"/>
    <w:rsid w:val="00464561"/>
    <w:rsid w:val="00465C0C"/>
    <w:rsid w:val="004738E3"/>
    <w:rsid w:val="00477E7D"/>
    <w:rsid w:val="00480C9C"/>
    <w:rsid w:val="004A3D36"/>
    <w:rsid w:val="004A506D"/>
    <w:rsid w:val="004B276E"/>
    <w:rsid w:val="004B331E"/>
    <w:rsid w:val="004C5C97"/>
    <w:rsid w:val="004C6C5C"/>
    <w:rsid w:val="004D1441"/>
    <w:rsid w:val="004E10F4"/>
    <w:rsid w:val="004E21CE"/>
    <w:rsid w:val="004E24F4"/>
    <w:rsid w:val="004E5E3D"/>
    <w:rsid w:val="004E5EAE"/>
    <w:rsid w:val="004E5FCA"/>
    <w:rsid w:val="004E6BBF"/>
    <w:rsid w:val="004F0543"/>
    <w:rsid w:val="004F11E1"/>
    <w:rsid w:val="004F6E49"/>
    <w:rsid w:val="00500B96"/>
    <w:rsid w:val="0050359E"/>
    <w:rsid w:val="00510B4C"/>
    <w:rsid w:val="0051119D"/>
    <w:rsid w:val="00511E1F"/>
    <w:rsid w:val="0051486B"/>
    <w:rsid w:val="00520410"/>
    <w:rsid w:val="00520EBA"/>
    <w:rsid w:val="00524ADD"/>
    <w:rsid w:val="00524E80"/>
    <w:rsid w:val="005357AF"/>
    <w:rsid w:val="005379C8"/>
    <w:rsid w:val="005426FF"/>
    <w:rsid w:val="005461C4"/>
    <w:rsid w:val="00551DFC"/>
    <w:rsid w:val="005546DD"/>
    <w:rsid w:val="00555394"/>
    <w:rsid w:val="00556B60"/>
    <w:rsid w:val="005613EA"/>
    <w:rsid w:val="005624BE"/>
    <w:rsid w:val="00563178"/>
    <w:rsid w:val="00572CFD"/>
    <w:rsid w:val="0057417D"/>
    <w:rsid w:val="00581AC8"/>
    <w:rsid w:val="00581F82"/>
    <w:rsid w:val="005824EF"/>
    <w:rsid w:val="0059266B"/>
    <w:rsid w:val="005A15EF"/>
    <w:rsid w:val="005A3A53"/>
    <w:rsid w:val="005B3F97"/>
    <w:rsid w:val="005B4AB7"/>
    <w:rsid w:val="005B50C1"/>
    <w:rsid w:val="005C265A"/>
    <w:rsid w:val="005C6E8E"/>
    <w:rsid w:val="005D1723"/>
    <w:rsid w:val="005D2FEA"/>
    <w:rsid w:val="005D558A"/>
    <w:rsid w:val="005D6030"/>
    <w:rsid w:val="005D78AB"/>
    <w:rsid w:val="005F10F4"/>
    <w:rsid w:val="005F39B8"/>
    <w:rsid w:val="005F6247"/>
    <w:rsid w:val="00600F3F"/>
    <w:rsid w:val="00602A9D"/>
    <w:rsid w:val="00604AF5"/>
    <w:rsid w:val="0060587D"/>
    <w:rsid w:val="00605A31"/>
    <w:rsid w:val="00607B60"/>
    <w:rsid w:val="00607ECB"/>
    <w:rsid w:val="0061095C"/>
    <w:rsid w:val="00611928"/>
    <w:rsid w:val="00612A55"/>
    <w:rsid w:val="00625878"/>
    <w:rsid w:val="006327FB"/>
    <w:rsid w:val="00641990"/>
    <w:rsid w:val="00643504"/>
    <w:rsid w:val="00645BFE"/>
    <w:rsid w:val="0065090D"/>
    <w:rsid w:val="00653DE4"/>
    <w:rsid w:val="00655590"/>
    <w:rsid w:val="00656465"/>
    <w:rsid w:val="006615A8"/>
    <w:rsid w:val="006652DF"/>
    <w:rsid w:val="0066795D"/>
    <w:rsid w:val="00672C10"/>
    <w:rsid w:val="006741A0"/>
    <w:rsid w:val="00677084"/>
    <w:rsid w:val="0067758B"/>
    <w:rsid w:val="00681A16"/>
    <w:rsid w:val="00686AB4"/>
    <w:rsid w:val="006873B1"/>
    <w:rsid w:val="00692AF9"/>
    <w:rsid w:val="00693ACE"/>
    <w:rsid w:val="006948B6"/>
    <w:rsid w:val="00694FB3"/>
    <w:rsid w:val="006954C2"/>
    <w:rsid w:val="0069594B"/>
    <w:rsid w:val="006A0A83"/>
    <w:rsid w:val="006B086A"/>
    <w:rsid w:val="006B2FDC"/>
    <w:rsid w:val="006C0920"/>
    <w:rsid w:val="006C344A"/>
    <w:rsid w:val="006C6355"/>
    <w:rsid w:val="006C702D"/>
    <w:rsid w:val="006D21E9"/>
    <w:rsid w:val="006D2BF7"/>
    <w:rsid w:val="006F09D6"/>
    <w:rsid w:val="006F214D"/>
    <w:rsid w:val="006F2D68"/>
    <w:rsid w:val="007037B5"/>
    <w:rsid w:val="00707D86"/>
    <w:rsid w:val="00733348"/>
    <w:rsid w:val="0073626C"/>
    <w:rsid w:val="007426E0"/>
    <w:rsid w:val="007432B9"/>
    <w:rsid w:val="00745118"/>
    <w:rsid w:val="007510EE"/>
    <w:rsid w:val="00754082"/>
    <w:rsid w:val="00760493"/>
    <w:rsid w:val="0076558F"/>
    <w:rsid w:val="00774DB2"/>
    <w:rsid w:val="0077587A"/>
    <w:rsid w:val="0077606F"/>
    <w:rsid w:val="007829B6"/>
    <w:rsid w:val="007850D6"/>
    <w:rsid w:val="00785866"/>
    <w:rsid w:val="00793309"/>
    <w:rsid w:val="00794EA7"/>
    <w:rsid w:val="007A08CB"/>
    <w:rsid w:val="007A098A"/>
    <w:rsid w:val="007A5D26"/>
    <w:rsid w:val="007B1176"/>
    <w:rsid w:val="007C0ED4"/>
    <w:rsid w:val="007C1F4C"/>
    <w:rsid w:val="007C2805"/>
    <w:rsid w:val="007C38AD"/>
    <w:rsid w:val="007C52A2"/>
    <w:rsid w:val="007C643E"/>
    <w:rsid w:val="007D0C50"/>
    <w:rsid w:val="007D5B53"/>
    <w:rsid w:val="007D5C4D"/>
    <w:rsid w:val="007D5F2C"/>
    <w:rsid w:val="007E74F8"/>
    <w:rsid w:val="007F4287"/>
    <w:rsid w:val="0081258B"/>
    <w:rsid w:val="00821905"/>
    <w:rsid w:val="00821BBF"/>
    <w:rsid w:val="008257F7"/>
    <w:rsid w:val="00833E9E"/>
    <w:rsid w:val="00835838"/>
    <w:rsid w:val="008429EF"/>
    <w:rsid w:val="00851A00"/>
    <w:rsid w:val="00866ECE"/>
    <w:rsid w:val="0086760F"/>
    <w:rsid w:val="00870718"/>
    <w:rsid w:val="00871D15"/>
    <w:rsid w:val="0087319C"/>
    <w:rsid w:val="00875267"/>
    <w:rsid w:val="0087743E"/>
    <w:rsid w:val="00884669"/>
    <w:rsid w:val="00885998"/>
    <w:rsid w:val="0088647A"/>
    <w:rsid w:val="008867A3"/>
    <w:rsid w:val="00897CEC"/>
    <w:rsid w:val="008A3230"/>
    <w:rsid w:val="008A45E4"/>
    <w:rsid w:val="008A5B6C"/>
    <w:rsid w:val="008B400C"/>
    <w:rsid w:val="008B4E00"/>
    <w:rsid w:val="008B5C19"/>
    <w:rsid w:val="008D3CAE"/>
    <w:rsid w:val="008D6115"/>
    <w:rsid w:val="008D76B3"/>
    <w:rsid w:val="008E123E"/>
    <w:rsid w:val="008E2EE1"/>
    <w:rsid w:val="008E7358"/>
    <w:rsid w:val="008F008E"/>
    <w:rsid w:val="008F4CCC"/>
    <w:rsid w:val="0090152A"/>
    <w:rsid w:val="0090702C"/>
    <w:rsid w:val="00911191"/>
    <w:rsid w:val="009144DB"/>
    <w:rsid w:val="00914767"/>
    <w:rsid w:val="00915A2E"/>
    <w:rsid w:val="00917C9C"/>
    <w:rsid w:val="00922099"/>
    <w:rsid w:val="009221EB"/>
    <w:rsid w:val="00923528"/>
    <w:rsid w:val="0092411C"/>
    <w:rsid w:val="009243F0"/>
    <w:rsid w:val="009317BF"/>
    <w:rsid w:val="0093270A"/>
    <w:rsid w:val="0094049C"/>
    <w:rsid w:val="009405CD"/>
    <w:rsid w:val="0094078B"/>
    <w:rsid w:val="0094091A"/>
    <w:rsid w:val="00943021"/>
    <w:rsid w:val="00953CC6"/>
    <w:rsid w:val="00954682"/>
    <w:rsid w:val="009561CD"/>
    <w:rsid w:val="00957615"/>
    <w:rsid w:val="00960B95"/>
    <w:rsid w:val="00961B09"/>
    <w:rsid w:val="00963FE0"/>
    <w:rsid w:val="009652D7"/>
    <w:rsid w:val="009659B0"/>
    <w:rsid w:val="00973884"/>
    <w:rsid w:val="00974B2E"/>
    <w:rsid w:val="00975350"/>
    <w:rsid w:val="00980F48"/>
    <w:rsid w:val="00990D15"/>
    <w:rsid w:val="00991F62"/>
    <w:rsid w:val="00994F47"/>
    <w:rsid w:val="009A0329"/>
    <w:rsid w:val="009B37D4"/>
    <w:rsid w:val="009B43E3"/>
    <w:rsid w:val="009D30DC"/>
    <w:rsid w:val="009E4B56"/>
    <w:rsid w:val="009F1124"/>
    <w:rsid w:val="009F21A2"/>
    <w:rsid w:val="009F27A1"/>
    <w:rsid w:val="009F2D3A"/>
    <w:rsid w:val="009F4802"/>
    <w:rsid w:val="009F62B7"/>
    <w:rsid w:val="00A14993"/>
    <w:rsid w:val="00A22845"/>
    <w:rsid w:val="00A2342A"/>
    <w:rsid w:val="00A25507"/>
    <w:rsid w:val="00A27318"/>
    <w:rsid w:val="00A27906"/>
    <w:rsid w:val="00A352B1"/>
    <w:rsid w:val="00A41C80"/>
    <w:rsid w:val="00A443CD"/>
    <w:rsid w:val="00A4599A"/>
    <w:rsid w:val="00A47817"/>
    <w:rsid w:val="00A634E6"/>
    <w:rsid w:val="00A67165"/>
    <w:rsid w:val="00A71D34"/>
    <w:rsid w:val="00A809C1"/>
    <w:rsid w:val="00A85DDC"/>
    <w:rsid w:val="00A86484"/>
    <w:rsid w:val="00A879C9"/>
    <w:rsid w:val="00A97BB9"/>
    <w:rsid w:val="00AA293F"/>
    <w:rsid w:val="00AA7A34"/>
    <w:rsid w:val="00AB0473"/>
    <w:rsid w:val="00AB20FF"/>
    <w:rsid w:val="00AB22FC"/>
    <w:rsid w:val="00AB31CA"/>
    <w:rsid w:val="00AC411E"/>
    <w:rsid w:val="00AC54D9"/>
    <w:rsid w:val="00AC5FB5"/>
    <w:rsid w:val="00AC620A"/>
    <w:rsid w:val="00AC6C8C"/>
    <w:rsid w:val="00AD02DF"/>
    <w:rsid w:val="00AE2042"/>
    <w:rsid w:val="00AE5321"/>
    <w:rsid w:val="00AE6B45"/>
    <w:rsid w:val="00AF2BB2"/>
    <w:rsid w:val="00AF4F24"/>
    <w:rsid w:val="00AF53AB"/>
    <w:rsid w:val="00AF69C2"/>
    <w:rsid w:val="00B0054D"/>
    <w:rsid w:val="00B111C1"/>
    <w:rsid w:val="00B12C95"/>
    <w:rsid w:val="00B16982"/>
    <w:rsid w:val="00B17F01"/>
    <w:rsid w:val="00B228DE"/>
    <w:rsid w:val="00B274D0"/>
    <w:rsid w:val="00B33851"/>
    <w:rsid w:val="00B45A1D"/>
    <w:rsid w:val="00B50DA5"/>
    <w:rsid w:val="00B55A00"/>
    <w:rsid w:val="00B60423"/>
    <w:rsid w:val="00B67C81"/>
    <w:rsid w:val="00B753A1"/>
    <w:rsid w:val="00B82BB7"/>
    <w:rsid w:val="00B84B93"/>
    <w:rsid w:val="00B921B0"/>
    <w:rsid w:val="00B96075"/>
    <w:rsid w:val="00BA09D2"/>
    <w:rsid w:val="00BA2A4F"/>
    <w:rsid w:val="00BA6A07"/>
    <w:rsid w:val="00BB132A"/>
    <w:rsid w:val="00BB3BC8"/>
    <w:rsid w:val="00BC43D0"/>
    <w:rsid w:val="00BC74A7"/>
    <w:rsid w:val="00BD10EB"/>
    <w:rsid w:val="00BD1C4C"/>
    <w:rsid w:val="00BE2F5F"/>
    <w:rsid w:val="00BE382D"/>
    <w:rsid w:val="00BE6CA6"/>
    <w:rsid w:val="00BE6D01"/>
    <w:rsid w:val="00BF3CCF"/>
    <w:rsid w:val="00BF3F87"/>
    <w:rsid w:val="00BF42B9"/>
    <w:rsid w:val="00BF5B26"/>
    <w:rsid w:val="00BF747F"/>
    <w:rsid w:val="00C15946"/>
    <w:rsid w:val="00C2318B"/>
    <w:rsid w:val="00C2381A"/>
    <w:rsid w:val="00C2399B"/>
    <w:rsid w:val="00C23B67"/>
    <w:rsid w:val="00C243B0"/>
    <w:rsid w:val="00C25572"/>
    <w:rsid w:val="00C27983"/>
    <w:rsid w:val="00C327FA"/>
    <w:rsid w:val="00C35ACF"/>
    <w:rsid w:val="00C44977"/>
    <w:rsid w:val="00C44C6B"/>
    <w:rsid w:val="00C516B8"/>
    <w:rsid w:val="00C540E7"/>
    <w:rsid w:val="00C5723A"/>
    <w:rsid w:val="00C62472"/>
    <w:rsid w:val="00C64FD2"/>
    <w:rsid w:val="00C7269B"/>
    <w:rsid w:val="00C733A0"/>
    <w:rsid w:val="00C74B0E"/>
    <w:rsid w:val="00C8271D"/>
    <w:rsid w:val="00C82F80"/>
    <w:rsid w:val="00C85F84"/>
    <w:rsid w:val="00C8683C"/>
    <w:rsid w:val="00C86D67"/>
    <w:rsid w:val="00C965E1"/>
    <w:rsid w:val="00CA1CAB"/>
    <w:rsid w:val="00CA2250"/>
    <w:rsid w:val="00CA2FA5"/>
    <w:rsid w:val="00CA44A9"/>
    <w:rsid w:val="00CB2224"/>
    <w:rsid w:val="00CB4B54"/>
    <w:rsid w:val="00CB57CA"/>
    <w:rsid w:val="00CC1CBA"/>
    <w:rsid w:val="00CC518E"/>
    <w:rsid w:val="00CD220A"/>
    <w:rsid w:val="00CE2CA3"/>
    <w:rsid w:val="00CE796D"/>
    <w:rsid w:val="00CF2565"/>
    <w:rsid w:val="00CF6ACB"/>
    <w:rsid w:val="00D046A2"/>
    <w:rsid w:val="00D0535C"/>
    <w:rsid w:val="00D1591F"/>
    <w:rsid w:val="00D17645"/>
    <w:rsid w:val="00D32631"/>
    <w:rsid w:val="00D4575B"/>
    <w:rsid w:val="00D54885"/>
    <w:rsid w:val="00D5530B"/>
    <w:rsid w:val="00D56E9C"/>
    <w:rsid w:val="00D57F70"/>
    <w:rsid w:val="00D60EA9"/>
    <w:rsid w:val="00D6109C"/>
    <w:rsid w:val="00D63B7E"/>
    <w:rsid w:val="00D65E5F"/>
    <w:rsid w:val="00D70618"/>
    <w:rsid w:val="00D7197A"/>
    <w:rsid w:val="00D81467"/>
    <w:rsid w:val="00D8267D"/>
    <w:rsid w:val="00D83561"/>
    <w:rsid w:val="00D91A33"/>
    <w:rsid w:val="00D92C79"/>
    <w:rsid w:val="00D964C4"/>
    <w:rsid w:val="00DA058A"/>
    <w:rsid w:val="00DA3CEE"/>
    <w:rsid w:val="00DA7468"/>
    <w:rsid w:val="00DA753E"/>
    <w:rsid w:val="00DB129A"/>
    <w:rsid w:val="00DB4E87"/>
    <w:rsid w:val="00DB5944"/>
    <w:rsid w:val="00DC48AD"/>
    <w:rsid w:val="00DD0740"/>
    <w:rsid w:val="00DD28B8"/>
    <w:rsid w:val="00DD2D5C"/>
    <w:rsid w:val="00DD4A98"/>
    <w:rsid w:val="00DD588C"/>
    <w:rsid w:val="00DD5D16"/>
    <w:rsid w:val="00DE49BE"/>
    <w:rsid w:val="00DE5B23"/>
    <w:rsid w:val="00DF1A13"/>
    <w:rsid w:val="00DF1BD8"/>
    <w:rsid w:val="00DF6A8D"/>
    <w:rsid w:val="00E22BF2"/>
    <w:rsid w:val="00E2695B"/>
    <w:rsid w:val="00E339A7"/>
    <w:rsid w:val="00E3417D"/>
    <w:rsid w:val="00E34D66"/>
    <w:rsid w:val="00E42BAF"/>
    <w:rsid w:val="00E450C1"/>
    <w:rsid w:val="00E451E2"/>
    <w:rsid w:val="00E4699C"/>
    <w:rsid w:val="00E63548"/>
    <w:rsid w:val="00E71484"/>
    <w:rsid w:val="00E716C6"/>
    <w:rsid w:val="00E72131"/>
    <w:rsid w:val="00E7531F"/>
    <w:rsid w:val="00E75F85"/>
    <w:rsid w:val="00E808C9"/>
    <w:rsid w:val="00E85205"/>
    <w:rsid w:val="00E9394C"/>
    <w:rsid w:val="00EA34EB"/>
    <w:rsid w:val="00EB2579"/>
    <w:rsid w:val="00EC2B89"/>
    <w:rsid w:val="00EC2C62"/>
    <w:rsid w:val="00ED2342"/>
    <w:rsid w:val="00ED366F"/>
    <w:rsid w:val="00ED55AE"/>
    <w:rsid w:val="00ED7883"/>
    <w:rsid w:val="00EE17B8"/>
    <w:rsid w:val="00EF43D6"/>
    <w:rsid w:val="00F02113"/>
    <w:rsid w:val="00F02C2B"/>
    <w:rsid w:val="00F1007C"/>
    <w:rsid w:val="00F10D51"/>
    <w:rsid w:val="00F12A78"/>
    <w:rsid w:val="00F14BCF"/>
    <w:rsid w:val="00F21B28"/>
    <w:rsid w:val="00F34E5B"/>
    <w:rsid w:val="00F418C3"/>
    <w:rsid w:val="00F41EF7"/>
    <w:rsid w:val="00F443CF"/>
    <w:rsid w:val="00F45A20"/>
    <w:rsid w:val="00F46F3B"/>
    <w:rsid w:val="00F51FF0"/>
    <w:rsid w:val="00F522D4"/>
    <w:rsid w:val="00F54CB3"/>
    <w:rsid w:val="00F57E8C"/>
    <w:rsid w:val="00F61684"/>
    <w:rsid w:val="00F6403F"/>
    <w:rsid w:val="00F74C2F"/>
    <w:rsid w:val="00F81301"/>
    <w:rsid w:val="00F81666"/>
    <w:rsid w:val="00F82C5C"/>
    <w:rsid w:val="00F8642F"/>
    <w:rsid w:val="00F91F6E"/>
    <w:rsid w:val="00F94FAA"/>
    <w:rsid w:val="00F955BB"/>
    <w:rsid w:val="00F97115"/>
    <w:rsid w:val="00FA1674"/>
    <w:rsid w:val="00FA260C"/>
    <w:rsid w:val="00FA29A6"/>
    <w:rsid w:val="00FA4458"/>
    <w:rsid w:val="00FA4A10"/>
    <w:rsid w:val="00FB7B21"/>
    <w:rsid w:val="00FB7B22"/>
    <w:rsid w:val="00FC3069"/>
    <w:rsid w:val="00FC470F"/>
    <w:rsid w:val="00FE7814"/>
    <w:rsid w:val="00FF4F75"/>
    <w:rsid w:val="00FF697C"/>
    <w:rsid w:val="02141B03"/>
    <w:rsid w:val="05C360F1"/>
    <w:rsid w:val="064959A2"/>
    <w:rsid w:val="11B2626D"/>
    <w:rsid w:val="17206B7A"/>
    <w:rsid w:val="21F44B67"/>
    <w:rsid w:val="23F52ABC"/>
    <w:rsid w:val="24104E2E"/>
    <w:rsid w:val="2974021B"/>
    <w:rsid w:val="2E306D53"/>
    <w:rsid w:val="2FC60730"/>
    <w:rsid w:val="3A470CCB"/>
    <w:rsid w:val="42C01695"/>
    <w:rsid w:val="4FD0504E"/>
    <w:rsid w:val="55E41F8C"/>
    <w:rsid w:val="6D792840"/>
    <w:rsid w:val="6E964F3A"/>
    <w:rsid w:val="72EA3795"/>
    <w:rsid w:val="740F5675"/>
    <w:rsid w:val="790B3F36"/>
    <w:rsid w:val="7B5D3A3D"/>
    <w:rsid w:val="7D957E9A"/>
    <w:rsid w:val="7FE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none"/>
    </w:rPr>
  </w:style>
  <w:style w:type="paragraph" w:customStyle="1" w:styleId="12">
    <w:name w:val="内容标题"/>
    <w:basedOn w:val="2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3">
    <w:name w:val="文档结构图 Char"/>
    <w:basedOn w:val="9"/>
    <w:link w:val="2"/>
    <w:semiHidden/>
    <w:qFormat/>
    <w:uiPriority w:val="99"/>
    <w:rPr>
      <w:rFonts w:ascii="宋体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Char"/>
    <w:basedOn w:val="9"/>
    <w:link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1494</Characters>
  <Lines>12</Lines>
  <Paragraphs>3</Paragraphs>
  <TotalTime>0</TotalTime>
  <ScaleCrop>false</ScaleCrop>
  <LinksUpToDate>false</LinksUpToDate>
  <CharactersWithSpaces>1753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2016-01-21T06:24:00Z</dcterms:created>
  <dc:creator>fjy</dc:creator>
  <cp:lastModifiedBy>Administrator</cp:lastModifiedBy>
  <cp:lastPrinted>2017-04-14T01:46:00Z</cp:lastPrinted>
  <dcterms:modified xsi:type="dcterms:W3CDTF">2021-07-24T06:38:10Z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591946F43FEB4B01A105EED2B97871D9</vt:lpwstr>
  </property>
</Properties>
</file>