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b/>
          <w:bCs/>
          <w:color w:val="000000"/>
          <w:kern w:val="0"/>
          <w:sz w:val="36"/>
        </w:rPr>
        <w:t>国务院关于创新重点领域投融资机制鼓励社会投资的指导意见</w:t>
      </w:r>
      <w:r w:rsidRPr="006B590B">
        <w:rPr>
          <w:rFonts w:ascii="Simsun" w:eastAsia="宋体" w:hAnsi="Simsun" w:cs="宋体"/>
          <w:b/>
          <w:bCs/>
          <w:color w:val="000000"/>
          <w:kern w:val="0"/>
          <w:sz w:val="36"/>
          <w:szCs w:val="36"/>
        </w:rPr>
        <w:br/>
      </w:r>
      <w:r w:rsidRPr="006B590B">
        <w:rPr>
          <w:rFonts w:ascii="楷体_GB2312" w:eastAsia="楷体_GB2312" w:hAnsi="Simsun" w:cs="宋体"/>
          <w:color w:val="000000"/>
          <w:kern w:val="0"/>
          <w:sz w:val="27"/>
          <w:szCs w:val="27"/>
        </w:rPr>
        <w:t>国发〔2014〕60号</w:t>
      </w:r>
    </w:p>
    <w:p w:rsidR="006B590B" w:rsidRPr="006B590B" w:rsidRDefault="006B590B" w:rsidP="006B590B">
      <w:pPr>
        <w:widowControl/>
        <w:spacing w:line="482" w:lineRule="atLeast"/>
        <w:jc w:val="left"/>
        <w:rPr>
          <w:rFonts w:ascii="Simsun" w:eastAsia="宋体" w:hAnsi="Simsun" w:cs="宋体"/>
          <w:color w:val="000000"/>
          <w:kern w:val="0"/>
          <w:sz w:val="27"/>
          <w:szCs w:val="27"/>
        </w:rPr>
      </w:pPr>
      <w:r w:rsidRPr="006B590B">
        <w:rPr>
          <w:rFonts w:ascii="Simsun" w:eastAsia="宋体" w:hAnsi="Simsun" w:cs="宋体"/>
          <w:color w:val="000000"/>
          <w:kern w:val="0"/>
          <w:sz w:val="27"/>
          <w:szCs w:val="27"/>
        </w:rPr>
        <w:t>各省、自治区、直辖市人民政府，国务院各部委、各直属机构：</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为推进经济结构战略性调整，加强薄弱环节建设，促进经济持续健康发展，迫切需要在公共服务、资源环境、生态建设、基础设施等重点领域进一步创新投融资机制，充分发挥社会资本特别是民间资本的积极作用。为此，特提出以下意见。</w:t>
      </w:r>
      <w:r w:rsidRPr="006B590B">
        <w:rPr>
          <w:rFonts w:ascii="Simsun" w:eastAsia="宋体" w:hAnsi="Simsun" w:cs="宋体"/>
          <w:color w:val="000000"/>
          <w:kern w:val="0"/>
          <w:sz w:val="27"/>
          <w:szCs w:val="27"/>
        </w:rPr>
        <w:br/>
      </w:r>
      <w:r w:rsidRPr="006B590B">
        <w:rPr>
          <w:rFonts w:ascii="Simsun" w:eastAsia="宋体" w:hAnsi="Simsun" w:cs="宋体"/>
          <w:b/>
          <w:bCs/>
          <w:color w:val="000000"/>
          <w:kern w:val="0"/>
          <w:sz w:val="27"/>
        </w:rPr>
        <w:t xml:space="preserve">　　一、总体要求</w:t>
      </w:r>
      <w:r w:rsidRPr="006B590B">
        <w:rPr>
          <w:rFonts w:ascii="Simsun" w:eastAsia="宋体" w:hAnsi="Simsun" w:cs="宋体"/>
          <w:b/>
          <w:bCs/>
          <w:color w:val="000000"/>
          <w:kern w:val="0"/>
          <w:sz w:val="27"/>
          <w:szCs w:val="27"/>
        </w:rPr>
        <w:br/>
      </w:r>
      <w:r w:rsidRPr="006B590B">
        <w:rPr>
          <w:rFonts w:ascii="Simsun" w:eastAsia="宋体" w:hAnsi="Simsun" w:cs="宋体"/>
          <w:color w:val="000000"/>
          <w:kern w:val="0"/>
          <w:sz w:val="27"/>
          <w:szCs w:val="27"/>
        </w:rPr>
        <w:t xml:space="preserve">　　（一）指导思想。全面贯彻落实党的十八大和十八届三中、四中全会精神，按照党中央、国务院决策部署，使市场在资源配置中起决定性作用和更好发挥政府作用，打破行业垄断和市场壁垒，切实降低准入门槛，建立公平开放透明的市场规则，营造权利平等、机会平等、规则平等的投资环境，进一步鼓励社会投资特别是民间投资，盘活存量、用好增量，调结构、补短板，服务国家生产力布局，促进重点领域建设，增加公共产品有效供给。</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二）基本原则。实行统一市场准入，创造平等投资机会；创新投资运营机制，扩大社会资本投资途径；优化政府投资使用方向和方式，发挥引导带动作用；创新融资方式，拓宽融资渠道；完善价格形成机制，发挥价格杠杆作用。</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w:t>
      </w:r>
      <w:r w:rsidRPr="006B590B">
        <w:rPr>
          <w:rFonts w:ascii="Simsun" w:eastAsia="宋体" w:hAnsi="Simsun" w:cs="宋体"/>
          <w:b/>
          <w:bCs/>
          <w:color w:val="000000"/>
          <w:kern w:val="0"/>
          <w:sz w:val="27"/>
        </w:rPr>
        <w:t>二、创新生态环保投资运营机制</w:t>
      </w:r>
      <w:r w:rsidRPr="006B590B">
        <w:rPr>
          <w:rFonts w:ascii="Simsun" w:eastAsia="宋体" w:hAnsi="Simsun" w:cs="宋体"/>
          <w:b/>
          <w:bCs/>
          <w:color w:val="000000"/>
          <w:kern w:val="0"/>
          <w:sz w:val="27"/>
          <w:szCs w:val="27"/>
        </w:rPr>
        <w:br/>
      </w:r>
      <w:r w:rsidRPr="006B590B">
        <w:rPr>
          <w:rFonts w:ascii="Simsun" w:eastAsia="宋体" w:hAnsi="Simsun" w:cs="宋体"/>
          <w:color w:val="000000"/>
          <w:kern w:val="0"/>
          <w:sz w:val="27"/>
          <w:szCs w:val="27"/>
        </w:rPr>
        <w:t xml:space="preserve">　　（三）深化林业管理体制改革。推进国有林区和国有林场管理体制</w:t>
      </w:r>
      <w:r w:rsidRPr="006B590B">
        <w:rPr>
          <w:rFonts w:ascii="Simsun" w:eastAsia="宋体" w:hAnsi="Simsun" w:cs="宋体"/>
          <w:color w:val="000000"/>
          <w:kern w:val="0"/>
          <w:sz w:val="27"/>
          <w:szCs w:val="27"/>
        </w:rPr>
        <w:lastRenderedPageBreak/>
        <w:t>改革，完善森林经营和采伐管理制度，开展森林科学经营。深化集体林权制度改革，稳定林权承包关系，放活林地经营权，鼓励林权依法规范流转。鼓励荒山荒地造林和退耕还林林地林权依法流转。减免林权流转税费，有效降低流转成本。</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四）推进生态建设主体多元化。在严格保护森林资源的前提下，鼓励社会资本积极参与生态建设和保护，支持符合条件的农民合作社、家庭农场（林场）、专业大户、林业企业等新型经营主体投资生态建设项目。对社会资本利用荒山荒地进行植树造林的，在保障生态效益、符合土地用途管制要求的前提下，允许发展林下经济、森林旅游等生态产业。</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五）推动环境污染治理市场化。在电力、钢铁等重点行业以及开发区（工业园区）污染治理等领域，大力推行环境污染第三方治理，通过委托治理服务、托管运营服务等方式，由排污企业付费购买专业环境服务公司的治污减排服务，提高污染治理的产业化、专业化程度。稳妥推进政府向社会购买环境监测服务。建立重点行业第三方治污企业推荐制度。</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六）积极开展排污权、碳排放权交易试点。推进排污权有偿使用和交易试点，建立排污权有偿使用制度，规范排污权交易市场，鼓励社会资本参与污染减排和排污权交易。加快调整主要污染物排污费征收标准，实行差别化排污收费政策。加快在国内试行碳排放权交易制度，探索森林碳汇交易，发展碳排放权交易市场，鼓励和支持社会投资者参与碳配额交易，通过金融市场发现价格的功能，调整不同经济主体利益，</w:t>
      </w:r>
      <w:r w:rsidRPr="006B590B">
        <w:rPr>
          <w:rFonts w:ascii="Simsun" w:eastAsia="宋体" w:hAnsi="Simsun" w:cs="宋体"/>
          <w:color w:val="000000"/>
          <w:kern w:val="0"/>
          <w:sz w:val="27"/>
          <w:szCs w:val="27"/>
        </w:rPr>
        <w:lastRenderedPageBreak/>
        <w:t>有效促进环保和节能减排。</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w:t>
      </w:r>
      <w:r w:rsidRPr="006B590B">
        <w:rPr>
          <w:rFonts w:ascii="Simsun" w:eastAsia="宋体" w:hAnsi="Simsun" w:cs="宋体"/>
          <w:b/>
          <w:bCs/>
          <w:color w:val="000000"/>
          <w:kern w:val="0"/>
          <w:sz w:val="27"/>
        </w:rPr>
        <w:t>三、鼓励社会资本投资运营农业和水利工程</w:t>
      </w:r>
      <w:r w:rsidRPr="006B590B">
        <w:rPr>
          <w:rFonts w:ascii="Simsun" w:eastAsia="宋体" w:hAnsi="Simsun" w:cs="宋体"/>
          <w:b/>
          <w:bCs/>
          <w:color w:val="000000"/>
          <w:kern w:val="0"/>
          <w:sz w:val="27"/>
          <w:szCs w:val="27"/>
        </w:rPr>
        <w:br/>
      </w:r>
      <w:r w:rsidRPr="006B590B">
        <w:rPr>
          <w:rFonts w:ascii="Simsun" w:eastAsia="宋体" w:hAnsi="Simsun" w:cs="宋体"/>
          <w:color w:val="000000"/>
          <w:kern w:val="0"/>
          <w:sz w:val="27"/>
          <w:szCs w:val="27"/>
        </w:rPr>
        <w:t xml:space="preserve">　　（七）培育农业、水利工程多元化投资主体。支持农民合作社、家庭农场、专业大户、农业企业等新型经营主体投资建设农田水利和水土保持设施。允许财政补助形成的小型农田水利和水土保持工程资产由农业用水合作组织持有和管护。鼓励社会资本以特许经营、参股控股等多种形式参与具有一定收益的节水供水重大水利工程建设运营。社会资本愿意投入的重大水利工程，要积极鼓励社会资本投资建设。</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八）保障农业、水利工程投资合理收益。社会资本投资建设或运营管理农田水利、水土保持设施和节水供水重大水利工程的，与国有、集体投资项目享有同等政策待遇，可以依法获取供水水费等经营收益；承担公益性任务的，政府可对工程建设投资、维修养护和管护经费等给予适当补助，并落实优惠政策。社会资本投资建设或运营管理农田水利设施、重大水利工程等，可依法继承、转让、转租、抵押其相关权益；征收、征用或占用的，要按照国家有关规定给予补偿或者赔偿。</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九）通过水权制度改革吸引社会资本参与水资源开发利用和保护。加快建立水权制度，培育和规范水权交易市场，积极探索多种形式的水权交易流转方式，允许各地通过水权交易满足新增合理用水需求。鼓励社会资本通过参与节水供水重大水利工程投资建设等方式优先获得新增水资源使用权。</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（十）完善水利工程水价形成机制。深入开展农业水价综合改革试点，进一步促进农业节水。水利工程供非农业用水价格按照补偿成本、</w:t>
      </w:r>
      <w:r w:rsidRPr="006B590B">
        <w:rPr>
          <w:rFonts w:ascii="Simsun" w:eastAsia="宋体" w:hAnsi="Simsun" w:cs="宋体"/>
          <w:color w:val="000000"/>
          <w:kern w:val="0"/>
          <w:sz w:val="27"/>
          <w:szCs w:val="27"/>
        </w:rPr>
        <w:lastRenderedPageBreak/>
        <w:t>合理收益、优质优价、公平负担的原则合理制定，并根据供水成本变化及社会承受能力等适时调整，推行两部制水利工程水价和丰枯季节水价。价格调整不到位时，地方政府可根据实际情况安排财政性资金，对运营单位进行合理补偿。</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w:t>
      </w:r>
      <w:r w:rsidRPr="006B590B">
        <w:rPr>
          <w:rFonts w:ascii="Simsun" w:eastAsia="宋体" w:hAnsi="Simsun" w:cs="宋体"/>
          <w:b/>
          <w:bCs/>
          <w:color w:val="000000"/>
          <w:kern w:val="0"/>
          <w:sz w:val="27"/>
        </w:rPr>
        <w:t>四、推进市政基础设施投资运营市场化</w:t>
      </w:r>
      <w:r w:rsidRPr="006B590B">
        <w:rPr>
          <w:rFonts w:ascii="Simsun" w:eastAsia="宋体" w:hAnsi="Simsun" w:cs="宋体"/>
          <w:b/>
          <w:bCs/>
          <w:color w:val="000000"/>
          <w:kern w:val="0"/>
          <w:sz w:val="27"/>
          <w:szCs w:val="27"/>
        </w:rPr>
        <w:br/>
      </w:r>
      <w:r w:rsidRPr="006B590B">
        <w:rPr>
          <w:rFonts w:ascii="Simsun" w:eastAsia="宋体" w:hAnsi="Simsun" w:cs="宋体"/>
          <w:color w:val="000000"/>
          <w:kern w:val="0"/>
          <w:sz w:val="27"/>
          <w:szCs w:val="27"/>
        </w:rPr>
        <w:t xml:space="preserve">　　（十一）改革市政基础设施建设运营模式。推动市政基础设施建设运营事业单位向独立核算、自主经营的企业化管理转变。鼓励打破以项目为单位的分散运营模式，实行规模化经营，降低建设和运营成本，提高投资效益。推进市县、乡镇和村级污水收集和处理、垃圾处理项目按行业</w:t>
      </w:r>
      <w:r w:rsidRPr="006B590B">
        <w:rPr>
          <w:rFonts w:ascii="Simsun" w:eastAsia="宋体" w:hAnsi="Simsun" w:cs="宋体"/>
          <w:color w:val="000000"/>
          <w:kern w:val="0"/>
          <w:sz w:val="27"/>
          <w:szCs w:val="27"/>
        </w:rPr>
        <w:t>“</w:t>
      </w:r>
      <w:r w:rsidRPr="006B590B">
        <w:rPr>
          <w:rFonts w:ascii="Simsun" w:eastAsia="宋体" w:hAnsi="Simsun" w:cs="宋体"/>
          <w:color w:val="000000"/>
          <w:kern w:val="0"/>
          <w:sz w:val="27"/>
          <w:szCs w:val="27"/>
        </w:rPr>
        <w:t>打包</w:t>
      </w:r>
      <w:r w:rsidRPr="006B590B">
        <w:rPr>
          <w:rFonts w:ascii="Simsun" w:eastAsia="宋体" w:hAnsi="Simsun" w:cs="宋体"/>
          <w:color w:val="000000"/>
          <w:kern w:val="0"/>
          <w:sz w:val="27"/>
          <w:szCs w:val="27"/>
        </w:rPr>
        <w:t>”</w:t>
      </w:r>
      <w:r w:rsidRPr="006B590B">
        <w:rPr>
          <w:rFonts w:ascii="Simsun" w:eastAsia="宋体" w:hAnsi="Simsun" w:cs="宋体"/>
          <w:color w:val="000000"/>
          <w:kern w:val="0"/>
          <w:sz w:val="27"/>
          <w:szCs w:val="27"/>
        </w:rPr>
        <w:t>投资和运营，鼓励实行城乡供水一体化、厂网一体投资和运营。</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十二）积极推动社会资本参与市政基础设施建设运营。通过特许经营、投资补助、政府购买服务等多种方式，鼓励社会资本投资城镇供水、供热、燃气、污水垃圾处理、建筑垃圾资源化利用和处理、城市综合管廊、公园配套服务、公共交通、停车设施等市政基础设施项目，政府依法选择符合要求的经营者。政府可采用委托经营或转让</w:t>
      </w:r>
      <w:r w:rsidRPr="006B590B">
        <w:rPr>
          <w:rFonts w:ascii="Simsun" w:eastAsia="宋体" w:hAnsi="Simsun" w:cs="宋体"/>
          <w:color w:val="000000"/>
          <w:kern w:val="0"/>
          <w:sz w:val="27"/>
          <w:szCs w:val="27"/>
        </w:rPr>
        <w:t>—</w:t>
      </w:r>
      <w:r w:rsidRPr="006B590B">
        <w:rPr>
          <w:rFonts w:ascii="Simsun" w:eastAsia="宋体" w:hAnsi="Simsun" w:cs="宋体"/>
          <w:color w:val="000000"/>
          <w:kern w:val="0"/>
          <w:sz w:val="27"/>
          <w:szCs w:val="27"/>
        </w:rPr>
        <w:t>经营</w:t>
      </w:r>
      <w:r w:rsidRPr="006B590B">
        <w:rPr>
          <w:rFonts w:ascii="Simsun" w:eastAsia="宋体" w:hAnsi="Simsun" w:cs="宋体"/>
          <w:color w:val="000000"/>
          <w:kern w:val="0"/>
          <w:sz w:val="27"/>
          <w:szCs w:val="27"/>
        </w:rPr>
        <w:t>—</w:t>
      </w:r>
      <w:r w:rsidRPr="006B590B">
        <w:rPr>
          <w:rFonts w:ascii="Simsun" w:eastAsia="宋体" w:hAnsi="Simsun" w:cs="宋体"/>
          <w:color w:val="000000"/>
          <w:kern w:val="0"/>
          <w:sz w:val="27"/>
          <w:szCs w:val="27"/>
        </w:rPr>
        <w:t>转让（</w:t>
      </w:r>
      <w:r w:rsidRPr="006B590B">
        <w:rPr>
          <w:rFonts w:ascii="Simsun" w:eastAsia="宋体" w:hAnsi="Simsun" w:cs="宋体"/>
          <w:color w:val="000000"/>
          <w:kern w:val="0"/>
          <w:sz w:val="27"/>
          <w:szCs w:val="27"/>
        </w:rPr>
        <w:t>TOT</w:t>
      </w:r>
      <w:r w:rsidRPr="006B590B">
        <w:rPr>
          <w:rFonts w:ascii="Simsun" w:eastAsia="宋体" w:hAnsi="Simsun" w:cs="宋体"/>
          <w:color w:val="000000"/>
          <w:kern w:val="0"/>
          <w:sz w:val="27"/>
          <w:szCs w:val="27"/>
        </w:rPr>
        <w:t>）等方式，将已经建成的市政基础设施项目转交给社会资本运营管理。</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十三）加强县城基础设施建设。按照新型城镇化发展的要求，把有条件的县城和重点镇发展为中小城市，支持基础设施建设，增强吸纳农业转移人口的能力。选择若干具有产业基础、特色资源和区位优势的县城和重点镇推行试点，加大对市政基础设施建设运营引入市场机制的</w:t>
      </w:r>
      <w:r w:rsidRPr="006B590B">
        <w:rPr>
          <w:rFonts w:ascii="Simsun" w:eastAsia="宋体" w:hAnsi="Simsun" w:cs="宋体"/>
          <w:color w:val="000000"/>
          <w:kern w:val="0"/>
          <w:sz w:val="27"/>
          <w:szCs w:val="27"/>
        </w:rPr>
        <w:lastRenderedPageBreak/>
        <w:t>政策支持力度。</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十四）完善市政基础设施价格机制。加快改进市政基础设施价格形成、调整和补偿机制，使经营者能够获得合理收益。实行上下游价格调整联动机制，价格调整不到位时，地方政府可根据实际情况安排财政性资金对企业运营进行合理补偿。</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w:t>
      </w:r>
      <w:r w:rsidRPr="006B590B">
        <w:rPr>
          <w:rFonts w:ascii="Simsun" w:eastAsia="宋体" w:hAnsi="Simsun" w:cs="宋体"/>
          <w:b/>
          <w:bCs/>
          <w:color w:val="000000"/>
          <w:kern w:val="0"/>
          <w:sz w:val="27"/>
        </w:rPr>
        <w:t>五、改革完善交通投融资机制</w:t>
      </w:r>
      <w:r w:rsidRPr="006B590B">
        <w:rPr>
          <w:rFonts w:ascii="Simsun" w:eastAsia="宋体" w:hAnsi="Simsun" w:cs="宋体"/>
          <w:b/>
          <w:bCs/>
          <w:color w:val="000000"/>
          <w:kern w:val="0"/>
          <w:sz w:val="27"/>
          <w:szCs w:val="27"/>
        </w:rPr>
        <w:br/>
      </w:r>
      <w:r w:rsidRPr="006B590B">
        <w:rPr>
          <w:rFonts w:ascii="Simsun" w:eastAsia="宋体" w:hAnsi="Simsun" w:cs="宋体"/>
          <w:color w:val="000000"/>
          <w:kern w:val="0"/>
          <w:sz w:val="27"/>
          <w:szCs w:val="27"/>
        </w:rPr>
        <w:t xml:space="preserve">　　（十五）加快推进铁路投融资体制改革。用好铁路发展基金平台，吸引社会资本参与，扩大基金规模。充分利用铁路土地综合开发政策，以开发收益支持铁路发展。按照市场化方向，不断完善铁路运价形成机制。向地方政府和社会资本放开城际铁路、市域（郊）铁路、资源开发性铁路和支线铁路的所有权、经营权。按照构建现代企业制度的要求，保障投资者权益，推进蒙西至华中、长春至西巴彦花铁路等引进民间资本的示范项目实施。鼓励按照</w:t>
      </w:r>
      <w:r w:rsidRPr="006B590B">
        <w:rPr>
          <w:rFonts w:ascii="Simsun" w:eastAsia="宋体" w:hAnsi="Simsun" w:cs="宋体"/>
          <w:color w:val="000000"/>
          <w:kern w:val="0"/>
          <w:sz w:val="27"/>
          <w:szCs w:val="27"/>
        </w:rPr>
        <w:t>“</w:t>
      </w:r>
      <w:r w:rsidRPr="006B590B">
        <w:rPr>
          <w:rFonts w:ascii="Simsun" w:eastAsia="宋体" w:hAnsi="Simsun" w:cs="宋体"/>
          <w:color w:val="000000"/>
          <w:kern w:val="0"/>
          <w:sz w:val="27"/>
          <w:szCs w:val="27"/>
        </w:rPr>
        <w:t>多式衔接、立体开发、功能融合、节约集约</w:t>
      </w:r>
      <w:r w:rsidRPr="006B590B">
        <w:rPr>
          <w:rFonts w:ascii="Simsun" w:eastAsia="宋体" w:hAnsi="Simsun" w:cs="宋体"/>
          <w:color w:val="000000"/>
          <w:kern w:val="0"/>
          <w:sz w:val="27"/>
          <w:szCs w:val="27"/>
        </w:rPr>
        <w:t>”</w:t>
      </w:r>
      <w:r w:rsidRPr="006B590B">
        <w:rPr>
          <w:rFonts w:ascii="Simsun" w:eastAsia="宋体" w:hAnsi="Simsun" w:cs="宋体"/>
          <w:color w:val="000000"/>
          <w:kern w:val="0"/>
          <w:sz w:val="27"/>
          <w:szCs w:val="27"/>
        </w:rPr>
        <w:t>的原则，对城市轨道交通站点周边、车辆段上盖进行土地综合开发，吸引社会资本参与城市轨道交通建设。</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十六）完善公路投融资模式。建立完善政府主导、分级负责、多元筹资的公路投融资模式，完善收费公路政策，吸引社会资本投入，多渠道筹措建设和维护资金。逐步建立高速公路与普通公路统筹发展机制，促进普通公路持续健康发展。</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（十七）鼓励社会资本参与水运、民航基础设施建设。探索发展</w:t>
      </w:r>
      <w:r w:rsidRPr="006B590B">
        <w:rPr>
          <w:rFonts w:ascii="Simsun" w:eastAsia="宋体" w:hAnsi="Simsun" w:cs="宋体"/>
          <w:color w:val="000000"/>
          <w:kern w:val="0"/>
          <w:sz w:val="27"/>
          <w:szCs w:val="27"/>
        </w:rPr>
        <w:t>“</w:t>
      </w:r>
      <w:r w:rsidRPr="006B590B">
        <w:rPr>
          <w:rFonts w:ascii="Simsun" w:eastAsia="宋体" w:hAnsi="Simsun" w:cs="宋体"/>
          <w:color w:val="000000"/>
          <w:kern w:val="0"/>
          <w:sz w:val="27"/>
          <w:szCs w:val="27"/>
        </w:rPr>
        <w:t>航电结合</w:t>
      </w:r>
      <w:r w:rsidRPr="006B590B">
        <w:rPr>
          <w:rFonts w:ascii="Simsun" w:eastAsia="宋体" w:hAnsi="Simsun" w:cs="宋体"/>
          <w:color w:val="000000"/>
          <w:kern w:val="0"/>
          <w:sz w:val="27"/>
          <w:szCs w:val="27"/>
        </w:rPr>
        <w:t>”</w:t>
      </w:r>
      <w:r w:rsidRPr="006B590B">
        <w:rPr>
          <w:rFonts w:ascii="Simsun" w:eastAsia="宋体" w:hAnsi="Simsun" w:cs="宋体"/>
          <w:color w:val="000000"/>
          <w:kern w:val="0"/>
          <w:sz w:val="27"/>
          <w:szCs w:val="27"/>
        </w:rPr>
        <w:t>等投融资模式，按相关政策给予投资补助，鼓励社会资本投资建设航电枢纽。鼓励社会资本投资建设港口、内河航运设施等。积极吸</w:t>
      </w:r>
      <w:r w:rsidRPr="006B590B">
        <w:rPr>
          <w:rFonts w:ascii="Simsun" w:eastAsia="宋体" w:hAnsi="Simsun" w:cs="宋体"/>
          <w:color w:val="000000"/>
          <w:kern w:val="0"/>
          <w:sz w:val="27"/>
          <w:szCs w:val="27"/>
        </w:rPr>
        <w:lastRenderedPageBreak/>
        <w:t>引社会资本参与盈利状况较好的枢纽机场、干线机场以及机场配套服务设施等投资建设，拓宽机场建设资金来源。</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w:t>
      </w:r>
      <w:r w:rsidRPr="006B590B">
        <w:rPr>
          <w:rFonts w:ascii="Simsun" w:eastAsia="宋体" w:hAnsi="Simsun" w:cs="宋体"/>
          <w:b/>
          <w:bCs/>
          <w:color w:val="000000"/>
          <w:kern w:val="0"/>
          <w:sz w:val="27"/>
        </w:rPr>
        <w:t>六、鼓励社会资本加强能源设施投资</w:t>
      </w:r>
      <w:r w:rsidRPr="006B590B">
        <w:rPr>
          <w:rFonts w:ascii="Simsun" w:eastAsia="宋体" w:hAnsi="Simsun" w:cs="宋体"/>
          <w:b/>
          <w:bCs/>
          <w:color w:val="000000"/>
          <w:kern w:val="0"/>
          <w:sz w:val="27"/>
          <w:szCs w:val="27"/>
        </w:rPr>
        <w:br/>
      </w:r>
      <w:r w:rsidRPr="006B590B">
        <w:rPr>
          <w:rFonts w:ascii="Simsun" w:eastAsia="宋体" w:hAnsi="Simsun" w:cs="宋体"/>
          <w:color w:val="000000"/>
          <w:kern w:val="0"/>
          <w:sz w:val="27"/>
          <w:szCs w:val="27"/>
        </w:rPr>
        <w:t xml:space="preserve">　　（十八）鼓励社会资本参与电力建设。在做好生态环境保护、移民安置和确保工程安全的前提下，通过业主招标等方式，鼓励社会资本投资常规水电站和抽水蓄能电站。在确保具备核电控股资质主体承担核安全责任的前提下，引入社会资本参与核电项目投资，鼓励民间资本进入核电设备研制和核电服务领域。鼓励社会资本投资建设风光电、生物质能等清洁能源项目和背压式热电联产机组，进入清洁高效煤电项目建设、燃煤电厂节能减排升级改造领域。</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（十九）鼓励社会资本参与电网建设。积极吸引社会资本投资建设跨区输电通道、区域主干电网完善工程和大中城市配电网工程。将海南联网</w:t>
      </w:r>
      <w:r w:rsidRPr="006B590B">
        <w:rPr>
          <w:rFonts w:ascii="宋体" w:eastAsia="宋体" w:hAnsi="宋体" w:cs="宋体" w:hint="eastAsia"/>
          <w:color w:val="000000"/>
          <w:kern w:val="0"/>
          <w:sz w:val="27"/>
          <w:szCs w:val="27"/>
        </w:rPr>
        <w:t>Ⅱ</w:t>
      </w:r>
      <w:r w:rsidRPr="006B590B">
        <w:rPr>
          <w:rFonts w:ascii="Simsun" w:eastAsia="宋体" w:hAnsi="Simsun" w:cs="宋体"/>
          <w:color w:val="000000"/>
          <w:kern w:val="0"/>
          <w:sz w:val="27"/>
          <w:szCs w:val="27"/>
        </w:rPr>
        <w:t>回线路和滇西北送广东特高压直流输电工程等项目作为试点，引入社会资本。鼓励社会资本投资建设分布式电源并网工程、储能装置和电动汽车充换电设施。</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（二十）鼓励社会资本参与油气管网、储存设施和煤炭储运建设运营。支持民营企业、地方国有企业等参股建设油气管网主干线、沿海液化天然气（</w:t>
      </w:r>
      <w:r w:rsidRPr="006B590B">
        <w:rPr>
          <w:rFonts w:ascii="Simsun" w:eastAsia="宋体" w:hAnsi="Simsun" w:cs="宋体"/>
          <w:color w:val="000000"/>
          <w:kern w:val="0"/>
          <w:sz w:val="27"/>
          <w:szCs w:val="27"/>
        </w:rPr>
        <w:t>LNG</w:t>
      </w:r>
      <w:r w:rsidRPr="006B590B">
        <w:rPr>
          <w:rFonts w:ascii="Simsun" w:eastAsia="宋体" w:hAnsi="Simsun" w:cs="宋体"/>
          <w:color w:val="000000"/>
          <w:kern w:val="0"/>
          <w:sz w:val="27"/>
          <w:szCs w:val="27"/>
        </w:rPr>
        <w:t>）接收站、地下储气库、城市配气管网和城市储气设施，控股建设油气管网支线、原油和成品油商业储备库。鼓励社会资本参与铁路运煤干线和煤炭储配体系建设。国家规划确定的石化基地炼化一体化项目向社会资本开放。</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（二十一）理顺能源价格机制。进一步推进天然气价格改革，</w:t>
      </w:r>
      <w:r w:rsidRPr="006B590B">
        <w:rPr>
          <w:rFonts w:ascii="Simsun" w:eastAsia="宋体" w:hAnsi="Simsun" w:cs="宋体"/>
          <w:color w:val="000000"/>
          <w:kern w:val="0"/>
          <w:sz w:val="27"/>
          <w:szCs w:val="27"/>
        </w:rPr>
        <w:t>2015</w:t>
      </w:r>
      <w:r w:rsidRPr="006B590B">
        <w:rPr>
          <w:rFonts w:ascii="Simsun" w:eastAsia="宋体" w:hAnsi="Simsun" w:cs="宋体"/>
          <w:color w:val="000000"/>
          <w:kern w:val="0"/>
          <w:sz w:val="27"/>
          <w:szCs w:val="27"/>
        </w:rPr>
        <w:lastRenderedPageBreak/>
        <w:t>年实现存量气和增量气价格并轨，逐步放开非居民用天然气气源价格，落实页岩气、煤层气等非常规天然气价格市场化政策。尽快出台天然气管道运输价格政策。按照合理成本加合理利润的原则，适时调整煤层气发电、余热余压发电上网标杆电价。推进天然气分布式能源冷、热、电价格市场化。完善可再生能源发电价格政策，研究建立流域梯级效益补偿机制，适时调整完善燃煤发电机组环保电价政策。</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w:t>
      </w:r>
      <w:r w:rsidRPr="006B590B">
        <w:rPr>
          <w:rFonts w:ascii="Simsun" w:eastAsia="宋体" w:hAnsi="Simsun" w:cs="宋体"/>
          <w:b/>
          <w:bCs/>
          <w:color w:val="000000"/>
          <w:kern w:val="0"/>
          <w:sz w:val="27"/>
        </w:rPr>
        <w:t>七、推进信息和民用空间基础设施投资主体多元化</w:t>
      </w:r>
      <w:r w:rsidRPr="006B590B">
        <w:rPr>
          <w:rFonts w:ascii="Simsun" w:eastAsia="宋体" w:hAnsi="Simsun" w:cs="宋体"/>
          <w:b/>
          <w:bCs/>
          <w:color w:val="000000"/>
          <w:kern w:val="0"/>
          <w:sz w:val="27"/>
          <w:szCs w:val="27"/>
        </w:rPr>
        <w:br/>
      </w:r>
      <w:r w:rsidRPr="006B590B">
        <w:rPr>
          <w:rFonts w:ascii="Simsun" w:eastAsia="宋体" w:hAnsi="Simsun" w:cs="宋体"/>
          <w:color w:val="000000"/>
          <w:kern w:val="0"/>
          <w:sz w:val="27"/>
          <w:szCs w:val="27"/>
        </w:rPr>
        <w:t xml:space="preserve">　　（二十二）鼓励电信业进一步向民间资本开放。进一步完善法律法规，尽快修订电信业务分类目录。研究出台具体试点办法，鼓励和引导民间资本投资宽带接入网络建设和业务运营，大力发展宽带用户。推进民营企业开展移动通信转售业务试点工作，促进业务创新发展。</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（二十三）吸引民间资本加大信息基础设施投资力度。支持基础电信企业引入民间战略投资者。推动中国铁塔股份有限公司引入民间资本，实现混合所有制发展。</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二十四）鼓励民间资本参与国家民用空间基础设施建设。完善民用遥感卫星数据政策，加强政府采购服务，鼓励民间资本研制、发射和运营商业遥感卫星，提供市场化、专业化服务。引导民间资本参与卫星导航地面应用系统建设。</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w:t>
      </w:r>
      <w:r w:rsidRPr="006B590B">
        <w:rPr>
          <w:rFonts w:ascii="Simsun" w:eastAsia="宋体" w:hAnsi="Simsun" w:cs="宋体"/>
          <w:b/>
          <w:bCs/>
          <w:color w:val="000000"/>
          <w:kern w:val="0"/>
          <w:sz w:val="27"/>
        </w:rPr>
        <w:t>八、鼓励社会资本加大社会事业投资力度</w:t>
      </w:r>
      <w:r w:rsidRPr="006B590B">
        <w:rPr>
          <w:rFonts w:ascii="Simsun" w:eastAsia="宋体" w:hAnsi="Simsun" w:cs="宋体"/>
          <w:b/>
          <w:bCs/>
          <w:color w:val="000000"/>
          <w:kern w:val="0"/>
          <w:sz w:val="27"/>
          <w:szCs w:val="27"/>
        </w:rPr>
        <w:br/>
      </w:r>
      <w:r w:rsidRPr="006B590B">
        <w:rPr>
          <w:rFonts w:ascii="Simsun" w:eastAsia="宋体" w:hAnsi="Simsun" w:cs="宋体"/>
          <w:color w:val="000000"/>
          <w:kern w:val="0"/>
          <w:sz w:val="27"/>
          <w:szCs w:val="27"/>
        </w:rPr>
        <w:t xml:space="preserve">　　（二十五）加快社会事业公立机构分类改革。积极推进养老、文化、旅游、体育等领域符合条件的事业单位，以及公立医院资源丰富地区符合条件的医疗事业单位改制，为社会资本进入创造条件，鼓励社会资本</w:t>
      </w:r>
      <w:r w:rsidRPr="006B590B">
        <w:rPr>
          <w:rFonts w:ascii="Simsun" w:eastAsia="宋体" w:hAnsi="Simsun" w:cs="宋体"/>
          <w:color w:val="000000"/>
          <w:kern w:val="0"/>
          <w:sz w:val="27"/>
          <w:szCs w:val="27"/>
        </w:rPr>
        <w:lastRenderedPageBreak/>
        <w:t>参与公立机构改革。将符合条件的国有单位培训疗养机构转变为养老机构。</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二十六）鼓励社会资本加大社会事业投资力度。通过独资、合资、合作、联营、租赁等途径，采取特许经营、公建民营、民办公助等方式，鼓励社会资本参与教育、医疗、养老、体育健身、文化设施建设。尽快出台鼓励社会力量兴办教育、促进民办教育健康发展的意见。各地在编制城市总体规划、控制性详细规划以及有关专项规划时，要统筹规划、科学布局各类公共服务设施。各级政府逐步扩大教育、医疗、养老、体育健身、文化等政府购买服务范围，各类经营主体平等参与。将符合条件的各类医疗机构纳入医疗保险定点范围。</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二十七）完善落实社会事业建设运营税费优惠政策。进一步完善落实非营利性教育、医疗、养老、体育健身、文化机构税收优惠政策。对非营利性医疗、养老机构建设一律免征有关行政事业性收费，对营利性医疗、养老机构建设一律减半征收有关行政事业性收费。</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二十八）改进社会事业价格管理政策。民办教育、医疗机构用电、用水、用气、用热，执行与公办教育、医疗机构相同的价格政策。养老机构用电、用水、用气、用热，按居民生活类价格执行。除公立医疗、养老机构提供的基本服务按照政府规定的价格政策执行外，其他医疗、养老服务实行经营者自主定价。营利性民办学校收费实行自主定价，非营利性民办学校收费政策由地方政府按照市场化方向根据当地实际情况确定。</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w:t>
      </w:r>
      <w:r w:rsidRPr="006B590B">
        <w:rPr>
          <w:rFonts w:ascii="Simsun" w:eastAsia="宋体" w:hAnsi="Simsun" w:cs="宋体"/>
          <w:b/>
          <w:bCs/>
          <w:color w:val="000000"/>
          <w:kern w:val="0"/>
          <w:sz w:val="27"/>
        </w:rPr>
        <w:t>九、建立健全政府和社会资本合作（</w:t>
      </w:r>
      <w:r w:rsidRPr="006B590B">
        <w:rPr>
          <w:rFonts w:ascii="Simsun" w:eastAsia="宋体" w:hAnsi="Simsun" w:cs="宋体"/>
          <w:b/>
          <w:bCs/>
          <w:color w:val="000000"/>
          <w:kern w:val="0"/>
          <w:sz w:val="27"/>
        </w:rPr>
        <w:t>PPP</w:t>
      </w:r>
      <w:r w:rsidRPr="006B590B">
        <w:rPr>
          <w:rFonts w:ascii="Simsun" w:eastAsia="宋体" w:hAnsi="Simsun" w:cs="宋体"/>
          <w:b/>
          <w:bCs/>
          <w:color w:val="000000"/>
          <w:kern w:val="0"/>
          <w:sz w:val="27"/>
        </w:rPr>
        <w:t>）机制</w:t>
      </w:r>
      <w:r w:rsidRPr="006B590B">
        <w:rPr>
          <w:rFonts w:ascii="Simsun" w:eastAsia="宋体" w:hAnsi="Simsun" w:cs="宋体"/>
          <w:b/>
          <w:bCs/>
          <w:color w:val="000000"/>
          <w:kern w:val="0"/>
          <w:sz w:val="27"/>
          <w:szCs w:val="27"/>
        </w:rPr>
        <w:br/>
      </w:r>
      <w:r w:rsidRPr="006B590B">
        <w:rPr>
          <w:rFonts w:ascii="Simsun" w:eastAsia="宋体" w:hAnsi="Simsun" w:cs="宋体"/>
          <w:color w:val="000000"/>
          <w:kern w:val="0"/>
          <w:sz w:val="27"/>
          <w:szCs w:val="27"/>
        </w:rPr>
        <w:lastRenderedPageBreak/>
        <w:t xml:space="preserve">　　（二十九）推广政府和社会资本合作（</w:t>
      </w:r>
      <w:r w:rsidRPr="006B590B">
        <w:rPr>
          <w:rFonts w:ascii="Simsun" w:eastAsia="宋体" w:hAnsi="Simsun" w:cs="宋体"/>
          <w:color w:val="000000"/>
          <w:kern w:val="0"/>
          <w:sz w:val="27"/>
          <w:szCs w:val="27"/>
        </w:rPr>
        <w:t>PPP</w:t>
      </w:r>
      <w:r w:rsidRPr="006B590B">
        <w:rPr>
          <w:rFonts w:ascii="Simsun" w:eastAsia="宋体" w:hAnsi="Simsun" w:cs="宋体"/>
          <w:color w:val="000000"/>
          <w:kern w:val="0"/>
          <w:sz w:val="27"/>
          <w:szCs w:val="27"/>
        </w:rPr>
        <w:t>）模式。认真总结经验，加强政策引导，在公共服务、资源环境、生态保护、基础设施等领域，积极推广</w:t>
      </w:r>
      <w:r w:rsidRPr="006B590B">
        <w:rPr>
          <w:rFonts w:ascii="Simsun" w:eastAsia="宋体" w:hAnsi="Simsun" w:cs="宋体"/>
          <w:color w:val="000000"/>
          <w:kern w:val="0"/>
          <w:sz w:val="27"/>
          <w:szCs w:val="27"/>
        </w:rPr>
        <w:t>PPP</w:t>
      </w:r>
      <w:r w:rsidRPr="006B590B">
        <w:rPr>
          <w:rFonts w:ascii="Simsun" w:eastAsia="宋体" w:hAnsi="Simsun" w:cs="宋体"/>
          <w:color w:val="000000"/>
          <w:kern w:val="0"/>
          <w:sz w:val="27"/>
          <w:szCs w:val="27"/>
        </w:rPr>
        <w:t>模式，规范选择项目合作伙伴，引入社会资本，增强公共产品供给能力。政府有关部门要严格按照预算管理有关法律法规，完善财政补贴制度，切实控制和防范财政风险。健全</w:t>
      </w:r>
      <w:r w:rsidRPr="006B590B">
        <w:rPr>
          <w:rFonts w:ascii="Simsun" w:eastAsia="宋体" w:hAnsi="Simsun" w:cs="宋体"/>
          <w:color w:val="000000"/>
          <w:kern w:val="0"/>
          <w:sz w:val="27"/>
          <w:szCs w:val="27"/>
        </w:rPr>
        <w:t>PPP</w:t>
      </w:r>
      <w:r w:rsidRPr="006B590B">
        <w:rPr>
          <w:rFonts w:ascii="Simsun" w:eastAsia="宋体" w:hAnsi="Simsun" w:cs="宋体"/>
          <w:color w:val="000000"/>
          <w:kern w:val="0"/>
          <w:sz w:val="27"/>
          <w:szCs w:val="27"/>
        </w:rPr>
        <w:t>模式的法规体系，保障项目顺利运行。鼓励通过</w:t>
      </w:r>
      <w:r w:rsidRPr="006B590B">
        <w:rPr>
          <w:rFonts w:ascii="Simsun" w:eastAsia="宋体" w:hAnsi="Simsun" w:cs="宋体"/>
          <w:color w:val="000000"/>
          <w:kern w:val="0"/>
          <w:sz w:val="27"/>
          <w:szCs w:val="27"/>
        </w:rPr>
        <w:t>PPP</w:t>
      </w:r>
      <w:r w:rsidRPr="006B590B">
        <w:rPr>
          <w:rFonts w:ascii="Simsun" w:eastAsia="宋体" w:hAnsi="Simsun" w:cs="宋体"/>
          <w:color w:val="000000"/>
          <w:kern w:val="0"/>
          <w:sz w:val="27"/>
          <w:szCs w:val="27"/>
        </w:rPr>
        <w:t>方式盘活存量资源，变现资金要用于重点领域建设。</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（三十）规范合作关系保障各方利益。政府有关部门要制定管理办法，尽快发布标准合同范本，对</w:t>
      </w:r>
      <w:r w:rsidRPr="006B590B">
        <w:rPr>
          <w:rFonts w:ascii="Simsun" w:eastAsia="宋体" w:hAnsi="Simsun" w:cs="宋体"/>
          <w:color w:val="000000"/>
          <w:kern w:val="0"/>
          <w:sz w:val="27"/>
          <w:szCs w:val="27"/>
        </w:rPr>
        <w:t>PPP</w:t>
      </w:r>
      <w:r w:rsidRPr="006B590B">
        <w:rPr>
          <w:rFonts w:ascii="Simsun" w:eastAsia="宋体" w:hAnsi="Simsun" w:cs="宋体"/>
          <w:color w:val="000000"/>
          <w:kern w:val="0"/>
          <w:sz w:val="27"/>
          <w:szCs w:val="27"/>
        </w:rPr>
        <w:t>项目的业主选择、价格管理、回报方式、服务标准、信息披露、违约处罚、政府接管以及评估论证等进行详细规定，规范合作关系。平衡好社会公众与投资者利益关系，既要保障社会公众利益不受损害，又要保障经营者合法权益。</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（三十一）健全风险防范和监督机制。政府和投资者应对</w:t>
      </w:r>
      <w:r w:rsidRPr="006B590B">
        <w:rPr>
          <w:rFonts w:ascii="Simsun" w:eastAsia="宋体" w:hAnsi="Simsun" w:cs="宋体"/>
          <w:color w:val="000000"/>
          <w:kern w:val="0"/>
          <w:sz w:val="27"/>
          <w:szCs w:val="27"/>
        </w:rPr>
        <w:t>PPP</w:t>
      </w:r>
      <w:r w:rsidRPr="006B590B">
        <w:rPr>
          <w:rFonts w:ascii="Simsun" w:eastAsia="宋体" w:hAnsi="Simsun" w:cs="宋体"/>
          <w:color w:val="000000"/>
          <w:kern w:val="0"/>
          <w:sz w:val="27"/>
          <w:szCs w:val="27"/>
        </w:rPr>
        <w:t>项目可能产生的政策风险、商业风险、环境风险、法律风险等进行充分论证，完善合同设计，健全纠纷解决和风险防范机制。建立独立、透明、可问责、专业化的</w:t>
      </w:r>
      <w:r w:rsidRPr="006B590B">
        <w:rPr>
          <w:rFonts w:ascii="Simsun" w:eastAsia="宋体" w:hAnsi="Simsun" w:cs="宋体"/>
          <w:color w:val="000000"/>
          <w:kern w:val="0"/>
          <w:sz w:val="27"/>
          <w:szCs w:val="27"/>
        </w:rPr>
        <w:t>PPP</w:t>
      </w:r>
      <w:r w:rsidRPr="006B590B">
        <w:rPr>
          <w:rFonts w:ascii="Simsun" w:eastAsia="宋体" w:hAnsi="Simsun" w:cs="宋体"/>
          <w:color w:val="000000"/>
          <w:kern w:val="0"/>
          <w:sz w:val="27"/>
          <w:szCs w:val="27"/>
        </w:rPr>
        <w:t>项目监管体系，形成由政府监管部门、投资者、社会公众、专家、媒体等共同参与的监督机制。</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（三十二）健全退出机制。政府要与投资者明确</w:t>
      </w:r>
      <w:r w:rsidRPr="006B590B">
        <w:rPr>
          <w:rFonts w:ascii="Simsun" w:eastAsia="宋体" w:hAnsi="Simsun" w:cs="宋体"/>
          <w:color w:val="000000"/>
          <w:kern w:val="0"/>
          <w:sz w:val="27"/>
          <w:szCs w:val="27"/>
        </w:rPr>
        <w:t>PPP</w:t>
      </w:r>
      <w:r w:rsidRPr="006B590B">
        <w:rPr>
          <w:rFonts w:ascii="Simsun" w:eastAsia="宋体" w:hAnsi="Simsun" w:cs="宋体"/>
          <w:color w:val="000000"/>
          <w:kern w:val="0"/>
          <w:sz w:val="27"/>
          <w:szCs w:val="27"/>
        </w:rPr>
        <w:t>项目的退出路径，保障项目持续稳定运行。项目合作结束后，政府应组织做好接管工作，妥善处理投资回收、资产处理等事宜。</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w:t>
      </w:r>
      <w:r w:rsidRPr="006B590B">
        <w:rPr>
          <w:rFonts w:ascii="Simsun" w:eastAsia="宋体" w:hAnsi="Simsun" w:cs="宋体"/>
          <w:b/>
          <w:bCs/>
          <w:color w:val="000000"/>
          <w:kern w:val="0"/>
          <w:sz w:val="27"/>
        </w:rPr>
        <w:t>十、充分发挥政府投资的引导带动作用</w:t>
      </w:r>
      <w:r w:rsidRPr="006B590B">
        <w:rPr>
          <w:rFonts w:ascii="Simsun" w:eastAsia="宋体" w:hAnsi="Simsun" w:cs="宋体"/>
          <w:b/>
          <w:bCs/>
          <w:color w:val="000000"/>
          <w:kern w:val="0"/>
          <w:sz w:val="27"/>
          <w:szCs w:val="27"/>
        </w:rPr>
        <w:br/>
      </w:r>
      <w:r w:rsidRPr="006B590B">
        <w:rPr>
          <w:rFonts w:ascii="Simsun" w:eastAsia="宋体" w:hAnsi="Simsun" w:cs="宋体"/>
          <w:color w:val="000000"/>
          <w:kern w:val="0"/>
          <w:sz w:val="27"/>
          <w:szCs w:val="27"/>
        </w:rPr>
        <w:t xml:space="preserve">　　（三十三）优化政府投资使用方向。政府投资主要投向公益性和基</w:t>
      </w:r>
      <w:r w:rsidRPr="006B590B">
        <w:rPr>
          <w:rFonts w:ascii="Simsun" w:eastAsia="宋体" w:hAnsi="Simsun" w:cs="宋体"/>
          <w:color w:val="000000"/>
          <w:kern w:val="0"/>
          <w:sz w:val="27"/>
          <w:szCs w:val="27"/>
        </w:rPr>
        <w:lastRenderedPageBreak/>
        <w:t>础性建设。对鼓励社会资本参与的生态环保、农林水利、市政基础设施、社会事业等重点领域，政府投资可根据实际情况给予支持，充分发挥政府投资</w:t>
      </w:r>
      <w:r w:rsidRPr="006B590B">
        <w:rPr>
          <w:rFonts w:ascii="Simsun" w:eastAsia="宋体" w:hAnsi="Simsun" w:cs="宋体"/>
          <w:color w:val="000000"/>
          <w:kern w:val="0"/>
          <w:sz w:val="27"/>
          <w:szCs w:val="27"/>
        </w:rPr>
        <w:t>“</w:t>
      </w:r>
      <w:r w:rsidRPr="006B590B">
        <w:rPr>
          <w:rFonts w:ascii="Simsun" w:eastAsia="宋体" w:hAnsi="Simsun" w:cs="宋体"/>
          <w:color w:val="000000"/>
          <w:kern w:val="0"/>
          <w:sz w:val="27"/>
          <w:szCs w:val="27"/>
        </w:rPr>
        <w:t>四两拨千斤</w:t>
      </w:r>
      <w:r w:rsidRPr="006B590B">
        <w:rPr>
          <w:rFonts w:ascii="Simsun" w:eastAsia="宋体" w:hAnsi="Simsun" w:cs="宋体"/>
          <w:color w:val="000000"/>
          <w:kern w:val="0"/>
          <w:sz w:val="27"/>
          <w:szCs w:val="27"/>
        </w:rPr>
        <w:t>”</w:t>
      </w:r>
      <w:r w:rsidRPr="006B590B">
        <w:rPr>
          <w:rFonts w:ascii="Simsun" w:eastAsia="宋体" w:hAnsi="Simsun" w:cs="宋体"/>
          <w:color w:val="000000"/>
          <w:kern w:val="0"/>
          <w:sz w:val="27"/>
          <w:szCs w:val="27"/>
        </w:rPr>
        <w:t>的引导带动作用。</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三十四）改进政府投资使用方式。在同等条件下，政府投资优先支持引入社会资本的项目，根据不同项目情况，通过投资补助、基金注资、担保补贴、贷款贴息等方式，支持社会资本参与重点领域建设。抓紧制定政府投资支持社会投资项目的管理办法，规范政府投资安排行为。</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w:t>
      </w:r>
      <w:r w:rsidRPr="006B590B">
        <w:rPr>
          <w:rFonts w:ascii="Simsun" w:eastAsia="宋体" w:hAnsi="Simsun" w:cs="宋体"/>
          <w:b/>
          <w:bCs/>
          <w:color w:val="000000"/>
          <w:kern w:val="0"/>
          <w:sz w:val="27"/>
        </w:rPr>
        <w:t>十一、创新融资方式拓宽融资渠道</w:t>
      </w:r>
      <w:r w:rsidRPr="006B590B">
        <w:rPr>
          <w:rFonts w:ascii="Simsun" w:eastAsia="宋体" w:hAnsi="Simsun" w:cs="宋体"/>
          <w:b/>
          <w:bCs/>
          <w:color w:val="000000"/>
          <w:kern w:val="0"/>
          <w:sz w:val="27"/>
          <w:szCs w:val="27"/>
        </w:rPr>
        <w:br/>
      </w:r>
      <w:r w:rsidRPr="006B590B">
        <w:rPr>
          <w:rFonts w:ascii="Simsun" w:eastAsia="宋体" w:hAnsi="Simsun" w:cs="宋体"/>
          <w:color w:val="000000"/>
          <w:kern w:val="0"/>
          <w:sz w:val="27"/>
          <w:szCs w:val="27"/>
        </w:rPr>
        <w:t xml:space="preserve">　　（三十五）探索创新信贷服务。支持开展排污权、收费权、集体林权、特许经营权、购买服务协议预期收益、集体土地承包经营权质押贷款等担保创新类贷款业务。探索利用工程供水、供热、发电、污水垃圾处理等预期收益质押贷款，允许利用相关收益作为还款来源。鼓励金融机构对民间资本举办的社会事业提供融资支持。</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三十六）推进农业金融改革。探索采取信用担保和贴息、业务奖励、风险补偿、费用补贴、投资基金，以及互助信用、农业保险等方式，增强农民合作社、家庭农场（林场）、专业大户、农林业企业的贷款融资能力和风险抵御能力。</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三十七）充分发挥政策性金融机构的积极作用。在国家批准的业务范围内，加大对公共服务、生态环保、基础设施建设项目的支持力度。努力为生态环保、农林水利、中西部铁路和公路、城市基础设施等重大工程提供长期稳定、低成本的资金支持。</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（三十八）鼓励发展支持重点领域建设的投资基金。大力发展股权</w:t>
      </w:r>
      <w:r w:rsidRPr="006B590B">
        <w:rPr>
          <w:rFonts w:ascii="Simsun" w:eastAsia="宋体" w:hAnsi="Simsun" w:cs="宋体"/>
          <w:color w:val="000000"/>
          <w:kern w:val="0"/>
          <w:sz w:val="27"/>
          <w:szCs w:val="27"/>
        </w:rPr>
        <w:lastRenderedPageBreak/>
        <w:t>投资基金和创业投资基金，鼓励民间资本采取私募等方式发起设立主要投资于公共服务、生态环保、基础设施、区域开发、战略性新兴产业、先进制造业等领域的产业投资基金。政府可以使用包括中央预算内投资在内的财政性资金，通过认购基金份额等方式予以支持。</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三十九）支持重点领域建设项目开展股权和债权融资。大力发展债权投资计划、股权投资计划、资产支持计划等融资工具，延长投资期限，引导社保资金、保险资金等用于收益稳定、回收期长的基础设施和基础产业项目。支持重点领域建设项目采用企业债券、项目收益债券、公司债券、中期票据等方式通过债券市场筹措投资资金。推动铁路、公路、机场等交通项目建设企业应收账款证券化。建立规范的地方政府举债融资机制，支持地方政府依法依规发行债券，用于重点领域建设。</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创新重点领域投融资机制对稳增长、促改革、调结构、惠民生具有重要作用。各地区、各有关部门要从大局出发，进一步提高认识，加强组织领导，健全工作机制，协调推动重点领域投融资机制创新。各地政府要结合本地实际，抓紧制定具体实施细则，确保各项措施落到实处。国务院各有关部门要严格按照分工，抓紧制定相关配套措施，加快重点领域建设，同时要加强宣传解读，让社会资本了解参与方式、运营方式、盈利模式、投资回报等相关政策，进一步稳定市场预期，充分调动社会投资积极性，切实发挥好投资对经济增长的关键作用。发展改革委要会同有关部门加强对本指导意见落实情况的督促检查，重大问题及时向国务院报告。</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lastRenderedPageBreak/>
        <w:br/>
      </w:r>
      <w:r w:rsidRPr="006B590B">
        <w:rPr>
          <w:rFonts w:ascii="Simsun" w:eastAsia="宋体" w:hAnsi="Simsun" w:cs="宋体"/>
          <w:color w:val="000000"/>
          <w:kern w:val="0"/>
          <w:sz w:val="27"/>
          <w:szCs w:val="27"/>
        </w:rPr>
        <w:t xml:space="preserve">　　附件：重点政策措施文件分工方案</w:t>
      </w:r>
    </w:p>
    <w:p w:rsidR="006B590B" w:rsidRPr="006B590B" w:rsidRDefault="006B590B" w:rsidP="006B590B">
      <w:pPr>
        <w:widowControl/>
        <w:spacing w:line="482" w:lineRule="atLeast"/>
        <w:jc w:val="left"/>
        <w:rPr>
          <w:rFonts w:ascii="Simsun" w:eastAsia="宋体" w:hAnsi="Simsun" w:cs="宋体"/>
          <w:color w:val="000000"/>
          <w:kern w:val="0"/>
          <w:sz w:val="27"/>
          <w:szCs w:val="27"/>
        </w:rPr>
      </w:pPr>
      <w:r w:rsidRPr="006B590B">
        <w:rPr>
          <w:rFonts w:ascii="Simsun" w:eastAsia="宋体" w:hAnsi="Simsun" w:cs="宋体"/>
          <w:color w:val="000000"/>
          <w:kern w:val="0"/>
          <w:sz w:val="27"/>
          <w:szCs w:val="27"/>
        </w:rPr>
        <w:t xml:space="preserve">　　　　　　　　　　　　　　　　　　　　　　　　　　　　　　　国务院</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w:t>
      </w:r>
      <w:r w:rsidRPr="006B590B">
        <w:rPr>
          <w:rFonts w:ascii="Simsun" w:eastAsia="宋体" w:hAnsi="Simsun" w:cs="宋体"/>
          <w:color w:val="000000"/>
          <w:kern w:val="0"/>
          <w:sz w:val="27"/>
          <w:szCs w:val="27"/>
        </w:rPr>
        <w:t>2014</w:t>
      </w:r>
      <w:r w:rsidRPr="006B590B">
        <w:rPr>
          <w:rFonts w:ascii="Simsun" w:eastAsia="宋体" w:hAnsi="Simsun" w:cs="宋体"/>
          <w:color w:val="000000"/>
          <w:kern w:val="0"/>
          <w:sz w:val="27"/>
          <w:szCs w:val="27"/>
        </w:rPr>
        <w:t>年</w:t>
      </w:r>
      <w:r w:rsidRPr="006B590B">
        <w:rPr>
          <w:rFonts w:ascii="Simsun" w:eastAsia="宋体" w:hAnsi="Simsun" w:cs="宋体"/>
          <w:color w:val="000000"/>
          <w:kern w:val="0"/>
          <w:sz w:val="27"/>
          <w:szCs w:val="27"/>
        </w:rPr>
        <w:t>11</w:t>
      </w:r>
      <w:r w:rsidRPr="006B590B">
        <w:rPr>
          <w:rFonts w:ascii="Simsun" w:eastAsia="宋体" w:hAnsi="Simsun" w:cs="宋体"/>
          <w:color w:val="000000"/>
          <w:kern w:val="0"/>
          <w:sz w:val="27"/>
          <w:szCs w:val="27"/>
        </w:rPr>
        <w:t>月</w:t>
      </w:r>
      <w:r w:rsidRPr="006B590B">
        <w:rPr>
          <w:rFonts w:ascii="Simsun" w:eastAsia="宋体" w:hAnsi="Simsun" w:cs="宋体"/>
          <w:color w:val="000000"/>
          <w:kern w:val="0"/>
          <w:sz w:val="27"/>
          <w:szCs w:val="27"/>
        </w:rPr>
        <w:t>16</w:t>
      </w:r>
      <w:r w:rsidRPr="006B590B">
        <w:rPr>
          <w:rFonts w:ascii="Simsun" w:eastAsia="宋体" w:hAnsi="Simsun" w:cs="宋体"/>
          <w:color w:val="000000"/>
          <w:kern w:val="0"/>
          <w:sz w:val="27"/>
          <w:szCs w:val="27"/>
        </w:rPr>
        <w:t>日</w:t>
      </w:r>
      <w:r w:rsidRPr="006B590B">
        <w:rPr>
          <w:rFonts w:ascii="Simsun" w:eastAsia="宋体" w:hAnsi="Simsun" w:cs="宋体"/>
          <w:color w:val="000000"/>
          <w:kern w:val="0"/>
          <w:sz w:val="27"/>
          <w:szCs w:val="27"/>
        </w:rPr>
        <w:br/>
      </w:r>
      <w:r w:rsidRPr="006B590B">
        <w:rPr>
          <w:rFonts w:ascii="Simsun" w:eastAsia="宋体" w:hAnsi="Simsun" w:cs="宋体"/>
          <w:color w:val="000000"/>
          <w:kern w:val="0"/>
          <w:sz w:val="27"/>
          <w:szCs w:val="27"/>
        </w:rPr>
        <w:t xml:space="preserve">　　（此件公开发布）</w:t>
      </w: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r w:rsidRPr="006B590B">
        <w:rPr>
          <w:rFonts w:ascii="Simsun" w:eastAsia="宋体" w:hAnsi="Simsun" w:cs="宋体"/>
          <w:color w:val="000000"/>
          <w:kern w:val="0"/>
          <w:sz w:val="27"/>
          <w:szCs w:val="27"/>
        </w:rPr>
        <w:t> </w:t>
      </w: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Default="006B590B" w:rsidP="006B590B">
      <w:pPr>
        <w:widowControl/>
        <w:spacing w:after="201" w:line="482" w:lineRule="atLeast"/>
        <w:jc w:val="left"/>
        <w:rPr>
          <w:rFonts w:ascii="Simsun" w:eastAsia="宋体" w:hAnsi="Simsun" w:cs="宋体" w:hint="eastAsia"/>
          <w:color w:val="000000"/>
          <w:kern w:val="0"/>
          <w:sz w:val="27"/>
          <w:szCs w:val="27"/>
        </w:rPr>
      </w:pPr>
    </w:p>
    <w:p w:rsidR="006B590B" w:rsidRPr="006B590B" w:rsidRDefault="006B590B" w:rsidP="006B590B">
      <w:pPr>
        <w:widowControl/>
        <w:spacing w:after="201" w:line="482" w:lineRule="atLeast"/>
        <w:jc w:val="left"/>
        <w:rPr>
          <w:rFonts w:ascii="Simsun" w:eastAsia="宋体" w:hAnsi="Simsun" w:cs="宋体"/>
          <w:color w:val="000000"/>
          <w:kern w:val="0"/>
          <w:sz w:val="27"/>
          <w:szCs w:val="27"/>
        </w:rPr>
      </w:pPr>
    </w:p>
    <w:p w:rsidR="006B590B" w:rsidRPr="006B590B" w:rsidRDefault="006B590B" w:rsidP="006B590B">
      <w:pPr>
        <w:widowControl/>
        <w:spacing w:line="482" w:lineRule="atLeast"/>
        <w:jc w:val="left"/>
        <w:rPr>
          <w:rFonts w:ascii="Simsun" w:eastAsia="宋体" w:hAnsi="Simsun" w:cs="宋体"/>
          <w:color w:val="000000"/>
          <w:kern w:val="0"/>
          <w:sz w:val="27"/>
          <w:szCs w:val="27"/>
        </w:rPr>
      </w:pPr>
      <w:r w:rsidRPr="006B590B">
        <w:rPr>
          <w:rFonts w:ascii="Simsun" w:eastAsia="宋体" w:hAnsi="Simsun" w:cs="宋体"/>
          <w:b/>
          <w:bCs/>
          <w:color w:val="000000"/>
          <w:kern w:val="0"/>
          <w:sz w:val="27"/>
        </w:rPr>
        <w:lastRenderedPageBreak/>
        <w:t>附件</w:t>
      </w:r>
    </w:p>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b/>
          <w:bCs/>
          <w:color w:val="000000"/>
          <w:kern w:val="0"/>
          <w:sz w:val="36"/>
        </w:rPr>
        <w:t>重点政策措施文件分工方案</w:t>
      </w:r>
    </w:p>
    <w:tbl>
      <w:tblPr>
        <w:tblW w:w="8612" w:type="dxa"/>
        <w:jc w:val="center"/>
        <w:tblLook w:val="04A0"/>
      </w:tblPr>
      <w:tblGrid>
        <w:gridCol w:w="668"/>
        <w:gridCol w:w="3637"/>
        <w:gridCol w:w="2426"/>
        <w:gridCol w:w="1881"/>
      </w:tblGrid>
      <w:tr w:rsidR="006B590B" w:rsidRPr="006B590B" w:rsidTr="006B590B">
        <w:trPr>
          <w:jc w:val="center"/>
        </w:trPr>
        <w:tc>
          <w:tcPr>
            <w:tcW w:w="661" w:type="dxa"/>
            <w:tcBorders>
              <w:top w:val="single" w:sz="4" w:space="0" w:color="000000"/>
              <w:left w:val="single" w:sz="4" w:space="0" w:color="000000"/>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序号</w:t>
            </w:r>
          </w:p>
        </w:tc>
        <w:tc>
          <w:tcPr>
            <w:tcW w:w="3599" w:type="dxa"/>
            <w:tcBorders>
              <w:top w:val="single" w:sz="4" w:space="0" w:color="000000"/>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政策措施文件</w:t>
            </w:r>
          </w:p>
        </w:tc>
        <w:tc>
          <w:tcPr>
            <w:tcW w:w="2401" w:type="dxa"/>
            <w:tcBorders>
              <w:top w:val="single" w:sz="4" w:space="0" w:color="000000"/>
              <w:left w:val="nil"/>
              <w:bottom w:val="single" w:sz="4" w:space="0" w:color="000000"/>
              <w:right w:val="single" w:sz="4" w:space="0" w:color="000000"/>
            </w:tcBorders>
            <w:shd w:val="clear" w:color="auto" w:fill="FFFFFF"/>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负责单位</w:t>
            </w:r>
          </w:p>
        </w:tc>
        <w:tc>
          <w:tcPr>
            <w:tcW w:w="1861" w:type="dxa"/>
            <w:tcBorders>
              <w:top w:val="single" w:sz="4" w:space="0" w:color="000000"/>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出台时间</w:t>
            </w:r>
          </w:p>
        </w:tc>
      </w:tr>
      <w:tr w:rsidR="006B590B" w:rsidRPr="006B590B" w:rsidTr="006B590B">
        <w:trPr>
          <w:jc w:val="center"/>
        </w:trPr>
        <w:tc>
          <w:tcPr>
            <w:tcW w:w="661" w:type="dxa"/>
            <w:tcBorders>
              <w:top w:val="nil"/>
              <w:left w:val="single" w:sz="4" w:space="0" w:color="000000"/>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宋体:" w:eastAsia="宋体:" w:hAnsi="Simsun" w:cs="宋体" w:hint="eastAsia"/>
                <w:color w:val="000000"/>
                <w:kern w:val="0"/>
                <w:szCs w:val="21"/>
              </w:rPr>
              <w:t>1</w:t>
            </w:r>
          </w:p>
        </w:tc>
        <w:tc>
          <w:tcPr>
            <w:tcW w:w="3599"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大力推行环境污染第三方治理</w:t>
            </w:r>
          </w:p>
        </w:tc>
        <w:tc>
          <w:tcPr>
            <w:tcW w:w="2401" w:type="dxa"/>
            <w:tcBorders>
              <w:top w:val="nil"/>
              <w:left w:val="nil"/>
              <w:bottom w:val="single" w:sz="4" w:space="0" w:color="000000"/>
              <w:right w:val="single" w:sz="4" w:space="0" w:color="000000"/>
            </w:tcBorders>
            <w:shd w:val="clear" w:color="auto" w:fill="FFFFFF"/>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发展改革委、环境保护部</w:t>
            </w:r>
          </w:p>
        </w:tc>
        <w:tc>
          <w:tcPr>
            <w:tcW w:w="186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2014</w:t>
            </w:r>
            <w:r w:rsidRPr="006B590B">
              <w:rPr>
                <w:rFonts w:ascii="宋体" w:eastAsia="宋体" w:hAnsi="宋体" w:cs="宋体"/>
                <w:color w:val="000000"/>
                <w:kern w:val="0"/>
                <w:szCs w:val="21"/>
              </w:rPr>
              <w:t>年底</w:t>
            </w:r>
          </w:p>
        </w:tc>
      </w:tr>
      <w:tr w:rsidR="006B590B" w:rsidRPr="006B590B" w:rsidTr="006B590B">
        <w:trPr>
          <w:jc w:val="center"/>
        </w:trPr>
        <w:tc>
          <w:tcPr>
            <w:tcW w:w="661" w:type="dxa"/>
            <w:tcBorders>
              <w:top w:val="nil"/>
              <w:left w:val="single" w:sz="4" w:space="0" w:color="000000"/>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宋体:" w:eastAsia="宋体:" w:hAnsi="Simsun" w:cs="宋体" w:hint="eastAsia"/>
                <w:color w:val="000000"/>
                <w:kern w:val="0"/>
                <w:szCs w:val="21"/>
              </w:rPr>
              <w:t>2</w:t>
            </w:r>
          </w:p>
        </w:tc>
        <w:tc>
          <w:tcPr>
            <w:tcW w:w="3599"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推进排污权、碳排放权交易试点，鼓励社会资本参与污染减排和排污权、碳排放权交易</w:t>
            </w:r>
          </w:p>
        </w:tc>
        <w:tc>
          <w:tcPr>
            <w:tcW w:w="2401" w:type="dxa"/>
            <w:tcBorders>
              <w:top w:val="nil"/>
              <w:left w:val="nil"/>
              <w:bottom w:val="single" w:sz="4" w:space="0" w:color="000000"/>
              <w:right w:val="single" w:sz="4" w:space="0" w:color="000000"/>
            </w:tcBorders>
            <w:shd w:val="clear" w:color="auto" w:fill="FFFFFF"/>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财政部、环境保护部、发展改革委、林业局、证监会（其中碳排放</w:t>
            </w:r>
            <w:r w:rsidRPr="006B590B">
              <w:rPr>
                <w:rFonts w:ascii="Simsun" w:eastAsia="宋体" w:hAnsi="Simsun" w:cs="宋体"/>
                <w:color w:val="000000"/>
                <w:kern w:val="0"/>
                <w:szCs w:val="21"/>
              </w:rPr>
              <w:br/>
            </w:r>
            <w:r w:rsidRPr="006B590B">
              <w:rPr>
                <w:rFonts w:ascii="Simsun" w:eastAsia="宋体" w:hAnsi="Simsun" w:cs="宋体"/>
                <w:color w:val="000000"/>
                <w:kern w:val="0"/>
                <w:szCs w:val="21"/>
              </w:rPr>
              <w:t>权交易由发展改革委</w:t>
            </w:r>
            <w:r w:rsidRPr="006B590B">
              <w:rPr>
                <w:rFonts w:ascii="Simsun" w:eastAsia="宋体" w:hAnsi="Simsun" w:cs="宋体"/>
                <w:color w:val="000000"/>
                <w:kern w:val="0"/>
                <w:szCs w:val="21"/>
              </w:rPr>
              <w:br/>
            </w:r>
            <w:r w:rsidRPr="006B590B">
              <w:rPr>
                <w:rFonts w:ascii="Simsun" w:eastAsia="宋体" w:hAnsi="Simsun" w:cs="宋体"/>
                <w:color w:val="000000"/>
                <w:kern w:val="0"/>
                <w:szCs w:val="21"/>
              </w:rPr>
              <w:t>牵头）</w:t>
            </w:r>
          </w:p>
        </w:tc>
        <w:tc>
          <w:tcPr>
            <w:tcW w:w="186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2015</w:t>
            </w:r>
            <w:r w:rsidRPr="006B590B">
              <w:rPr>
                <w:rFonts w:ascii="宋体" w:eastAsia="宋体" w:hAnsi="宋体" w:cs="宋体"/>
                <w:color w:val="000000"/>
                <w:kern w:val="0"/>
                <w:szCs w:val="21"/>
              </w:rPr>
              <w:t>年</w:t>
            </w:r>
            <w:r w:rsidRPr="006B590B">
              <w:rPr>
                <w:rFonts w:ascii="Times New Roman" w:eastAsia="宋体" w:hAnsi="Times New Roman" w:cs="Times New Roman"/>
                <w:color w:val="000000"/>
                <w:kern w:val="0"/>
                <w:szCs w:val="21"/>
              </w:rPr>
              <w:t>3</w:t>
            </w:r>
            <w:r w:rsidRPr="006B590B">
              <w:rPr>
                <w:rFonts w:ascii="宋体" w:eastAsia="宋体" w:hAnsi="宋体" w:cs="宋体"/>
                <w:color w:val="000000"/>
                <w:kern w:val="0"/>
                <w:szCs w:val="21"/>
              </w:rPr>
              <w:t>月底</w:t>
            </w:r>
          </w:p>
        </w:tc>
      </w:tr>
      <w:tr w:rsidR="006B590B" w:rsidRPr="006B590B" w:rsidTr="006B590B">
        <w:trPr>
          <w:jc w:val="center"/>
        </w:trPr>
        <w:tc>
          <w:tcPr>
            <w:tcW w:w="661" w:type="dxa"/>
            <w:tcBorders>
              <w:top w:val="nil"/>
              <w:left w:val="single" w:sz="4" w:space="0" w:color="000000"/>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宋体:" w:eastAsia="宋体:" w:hAnsi="Simsun" w:cs="宋体" w:hint="eastAsia"/>
                <w:color w:val="000000"/>
                <w:kern w:val="0"/>
                <w:szCs w:val="21"/>
              </w:rPr>
              <w:t>3</w:t>
            </w:r>
          </w:p>
        </w:tc>
        <w:tc>
          <w:tcPr>
            <w:tcW w:w="3599"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鼓励和引导社会资本参与节水供水重大水利工程建设运营的实施意见，积极探索多种形式的水权交易流转方式，鼓励社会资本参与节水供水重大水利工程投资建设</w:t>
            </w:r>
          </w:p>
        </w:tc>
        <w:tc>
          <w:tcPr>
            <w:tcW w:w="240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水利部、发展改革委、证监会</w:t>
            </w:r>
          </w:p>
        </w:tc>
        <w:tc>
          <w:tcPr>
            <w:tcW w:w="186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2015</w:t>
            </w:r>
            <w:r w:rsidRPr="006B590B">
              <w:rPr>
                <w:rFonts w:ascii="宋体" w:eastAsia="宋体" w:hAnsi="宋体" w:cs="宋体"/>
                <w:color w:val="000000"/>
                <w:kern w:val="0"/>
                <w:szCs w:val="21"/>
              </w:rPr>
              <w:t>年</w:t>
            </w:r>
            <w:r w:rsidRPr="006B590B">
              <w:rPr>
                <w:rFonts w:ascii="Times New Roman" w:eastAsia="宋体" w:hAnsi="Times New Roman" w:cs="Times New Roman"/>
                <w:color w:val="000000"/>
                <w:kern w:val="0"/>
                <w:szCs w:val="21"/>
              </w:rPr>
              <w:t>3</w:t>
            </w:r>
            <w:r w:rsidRPr="006B590B">
              <w:rPr>
                <w:rFonts w:ascii="宋体" w:eastAsia="宋体" w:hAnsi="宋体" w:cs="宋体"/>
                <w:color w:val="000000"/>
                <w:kern w:val="0"/>
                <w:szCs w:val="21"/>
              </w:rPr>
              <w:t>月底</w:t>
            </w:r>
          </w:p>
        </w:tc>
      </w:tr>
      <w:tr w:rsidR="006B590B" w:rsidRPr="006B590B" w:rsidTr="006B590B">
        <w:trPr>
          <w:jc w:val="center"/>
        </w:trPr>
        <w:tc>
          <w:tcPr>
            <w:tcW w:w="661" w:type="dxa"/>
            <w:tcBorders>
              <w:top w:val="nil"/>
              <w:left w:val="single" w:sz="4" w:space="0" w:color="000000"/>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宋体:" w:eastAsia="宋体:" w:hAnsi="Simsun" w:cs="宋体" w:hint="eastAsia"/>
                <w:color w:val="000000"/>
                <w:kern w:val="0"/>
                <w:szCs w:val="21"/>
              </w:rPr>
              <w:t>4</w:t>
            </w:r>
          </w:p>
        </w:tc>
        <w:tc>
          <w:tcPr>
            <w:tcW w:w="3599"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选择若干县城和重点镇推行试点，加大对市政基础设施建设运营引入市场机制的政策支持力度</w:t>
            </w:r>
          </w:p>
        </w:tc>
        <w:tc>
          <w:tcPr>
            <w:tcW w:w="2401" w:type="dxa"/>
            <w:tcBorders>
              <w:top w:val="nil"/>
              <w:left w:val="nil"/>
              <w:bottom w:val="single" w:sz="4" w:space="0" w:color="000000"/>
              <w:right w:val="single" w:sz="4" w:space="0" w:color="000000"/>
            </w:tcBorders>
            <w:shd w:val="clear" w:color="auto" w:fill="FFFFFF"/>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住房城乡建设部、发</w:t>
            </w:r>
            <w:r w:rsidRPr="006B590B">
              <w:rPr>
                <w:rFonts w:ascii="Simsun" w:eastAsia="宋体" w:hAnsi="Simsun" w:cs="宋体"/>
                <w:color w:val="000000"/>
                <w:kern w:val="0"/>
                <w:szCs w:val="21"/>
              </w:rPr>
              <w:br/>
            </w:r>
            <w:r w:rsidRPr="006B590B">
              <w:rPr>
                <w:rFonts w:ascii="Simsun" w:eastAsia="宋体" w:hAnsi="Simsun" w:cs="宋体"/>
                <w:color w:val="000000"/>
                <w:kern w:val="0"/>
                <w:szCs w:val="21"/>
              </w:rPr>
              <w:t>展改革委</w:t>
            </w:r>
          </w:p>
        </w:tc>
        <w:tc>
          <w:tcPr>
            <w:tcW w:w="186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2014</w:t>
            </w:r>
            <w:r w:rsidRPr="006B590B">
              <w:rPr>
                <w:rFonts w:ascii="宋体" w:eastAsia="宋体" w:hAnsi="宋体" w:cs="宋体"/>
                <w:color w:val="000000"/>
                <w:kern w:val="0"/>
                <w:szCs w:val="21"/>
              </w:rPr>
              <w:t>年底</w:t>
            </w:r>
          </w:p>
        </w:tc>
      </w:tr>
      <w:tr w:rsidR="006B590B" w:rsidRPr="006B590B" w:rsidTr="006B590B">
        <w:trPr>
          <w:jc w:val="center"/>
        </w:trPr>
        <w:tc>
          <w:tcPr>
            <w:tcW w:w="661" w:type="dxa"/>
            <w:tcBorders>
              <w:top w:val="nil"/>
              <w:left w:val="single" w:sz="4" w:space="0" w:color="000000"/>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宋体:" w:eastAsia="宋体:" w:hAnsi="Simsun" w:cs="宋体" w:hint="eastAsia"/>
                <w:color w:val="000000"/>
                <w:kern w:val="0"/>
                <w:szCs w:val="21"/>
              </w:rPr>
              <w:t>5</w:t>
            </w:r>
          </w:p>
        </w:tc>
        <w:tc>
          <w:tcPr>
            <w:tcW w:w="3599"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通过业主招标等方式，鼓励社会资本投资常规水电站和抽水蓄能电站</w:t>
            </w:r>
          </w:p>
        </w:tc>
        <w:tc>
          <w:tcPr>
            <w:tcW w:w="240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能源局</w:t>
            </w:r>
          </w:p>
        </w:tc>
        <w:tc>
          <w:tcPr>
            <w:tcW w:w="186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2014</w:t>
            </w:r>
            <w:r w:rsidRPr="006B590B">
              <w:rPr>
                <w:rFonts w:ascii="宋体" w:eastAsia="宋体" w:hAnsi="宋体" w:cs="宋体"/>
                <w:color w:val="000000"/>
                <w:kern w:val="0"/>
                <w:szCs w:val="21"/>
              </w:rPr>
              <w:t>年底</w:t>
            </w:r>
          </w:p>
        </w:tc>
      </w:tr>
      <w:tr w:rsidR="006B590B" w:rsidRPr="006B590B" w:rsidTr="006B590B">
        <w:trPr>
          <w:jc w:val="center"/>
        </w:trPr>
        <w:tc>
          <w:tcPr>
            <w:tcW w:w="661" w:type="dxa"/>
            <w:tcBorders>
              <w:top w:val="nil"/>
              <w:left w:val="single" w:sz="4" w:space="0" w:color="000000"/>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宋体:" w:eastAsia="宋体:" w:hAnsi="Simsun" w:cs="宋体" w:hint="eastAsia"/>
                <w:color w:val="000000"/>
                <w:kern w:val="0"/>
                <w:szCs w:val="21"/>
              </w:rPr>
              <w:t>6</w:t>
            </w:r>
          </w:p>
        </w:tc>
        <w:tc>
          <w:tcPr>
            <w:tcW w:w="3599"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支持民间资本投资宽带接入网络建设和业务运营</w:t>
            </w:r>
          </w:p>
        </w:tc>
        <w:tc>
          <w:tcPr>
            <w:tcW w:w="240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工业和信息化部</w:t>
            </w:r>
          </w:p>
        </w:tc>
        <w:tc>
          <w:tcPr>
            <w:tcW w:w="186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2015</w:t>
            </w:r>
            <w:r w:rsidRPr="006B590B">
              <w:rPr>
                <w:rFonts w:ascii="宋体" w:eastAsia="宋体" w:hAnsi="宋体" w:cs="宋体"/>
                <w:color w:val="000000"/>
                <w:kern w:val="0"/>
                <w:szCs w:val="21"/>
              </w:rPr>
              <w:t>年</w:t>
            </w:r>
            <w:r w:rsidRPr="006B590B">
              <w:rPr>
                <w:rFonts w:ascii="Times New Roman" w:eastAsia="宋体" w:hAnsi="Times New Roman" w:cs="Times New Roman"/>
                <w:color w:val="000000"/>
                <w:kern w:val="0"/>
                <w:szCs w:val="21"/>
              </w:rPr>
              <w:t>3</w:t>
            </w:r>
            <w:r w:rsidRPr="006B590B">
              <w:rPr>
                <w:rFonts w:ascii="宋体" w:eastAsia="宋体" w:hAnsi="宋体" w:cs="宋体"/>
                <w:color w:val="000000"/>
                <w:kern w:val="0"/>
                <w:szCs w:val="21"/>
              </w:rPr>
              <w:t>月底</w:t>
            </w:r>
          </w:p>
        </w:tc>
      </w:tr>
      <w:tr w:rsidR="006B590B" w:rsidRPr="006B590B" w:rsidTr="006B590B">
        <w:trPr>
          <w:jc w:val="center"/>
        </w:trPr>
        <w:tc>
          <w:tcPr>
            <w:tcW w:w="661" w:type="dxa"/>
            <w:tcBorders>
              <w:top w:val="nil"/>
              <w:left w:val="single" w:sz="4" w:space="0" w:color="000000"/>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宋体:" w:eastAsia="宋体:" w:hAnsi="Simsun" w:cs="宋体" w:hint="eastAsia"/>
                <w:color w:val="000000"/>
                <w:kern w:val="0"/>
                <w:szCs w:val="21"/>
              </w:rPr>
              <w:t>7</w:t>
            </w:r>
          </w:p>
        </w:tc>
        <w:tc>
          <w:tcPr>
            <w:tcW w:w="3599"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政府投资支持社会投资项目的管理办法</w:t>
            </w:r>
          </w:p>
        </w:tc>
        <w:tc>
          <w:tcPr>
            <w:tcW w:w="240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发展改革委、财政部</w:t>
            </w:r>
          </w:p>
        </w:tc>
        <w:tc>
          <w:tcPr>
            <w:tcW w:w="186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2015</w:t>
            </w:r>
            <w:r w:rsidRPr="006B590B">
              <w:rPr>
                <w:rFonts w:ascii="宋体" w:eastAsia="宋体" w:hAnsi="宋体" w:cs="宋体"/>
                <w:color w:val="000000"/>
                <w:kern w:val="0"/>
                <w:szCs w:val="21"/>
              </w:rPr>
              <w:t>年</w:t>
            </w:r>
            <w:r w:rsidRPr="006B590B">
              <w:rPr>
                <w:rFonts w:ascii="Times New Roman" w:eastAsia="宋体" w:hAnsi="Times New Roman" w:cs="Times New Roman"/>
                <w:color w:val="000000"/>
                <w:kern w:val="0"/>
                <w:szCs w:val="21"/>
              </w:rPr>
              <w:t>3</w:t>
            </w:r>
            <w:r w:rsidRPr="006B590B">
              <w:rPr>
                <w:rFonts w:ascii="宋体" w:eastAsia="宋体" w:hAnsi="宋体" w:cs="宋体"/>
                <w:color w:val="000000"/>
                <w:kern w:val="0"/>
                <w:szCs w:val="21"/>
              </w:rPr>
              <w:t>月底</w:t>
            </w:r>
          </w:p>
        </w:tc>
      </w:tr>
      <w:tr w:rsidR="006B590B" w:rsidRPr="006B590B" w:rsidTr="006B590B">
        <w:trPr>
          <w:jc w:val="center"/>
        </w:trPr>
        <w:tc>
          <w:tcPr>
            <w:tcW w:w="661" w:type="dxa"/>
            <w:tcBorders>
              <w:top w:val="nil"/>
              <w:left w:val="single" w:sz="4" w:space="0" w:color="000000"/>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宋体:" w:eastAsia="宋体:" w:hAnsi="Simsun" w:cs="宋体" w:hint="eastAsia"/>
                <w:color w:val="000000"/>
                <w:kern w:val="0"/>
                <w:szCs w:val="21"/>
              </w:rPr>
              <w:t>8</w:t>
            </w:r>
          </w:p>
        </w:tc>
        <w:tc>
          <w:tcPr>
            <w:tcW w:w="3599"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创新融资方式，拓宽融资渠道</w:t>
            </w:r>
          </w:p>
        </w:tc>
        <w:tc>
          <w:tcPr>
            <w:tcW w:w="240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人民银行、银监会、</w:t>
            </w:r>
            <w:r w:rsidRPr="006B590B">
              <w:rPr>
                <w:rFonts w:ascii="Simsun" w:eastAsia="宋体" w:hAnsi="Simsun" w:cs="宋体"/>
                <w:color w:val="000000"/>
                <w:kern w:val="0"/>
                <w:szCs w:val="21"/>
              </w:rPr>
              <w:br/>
            </w:r>
            <w:r w:rsidRPr="006B590B">
              <w:rPr>
                <w:rFonts w:ascii="Simsun" w:eastAsia="宋体" w:hAnsi="Simsun" w:cs="宋体"/>
                <w:color w:val="000000"/>
                <w:kern w:val="0"/>
                <w:szCs w:val="21"/>
              </w:rPr>
              <w:t>证监会、保监会、财</w:t>
            </w:r>
            <w:r w:rsidRPr="006B590B">
              <w:rPr>
                <w:rFonts w:ascii="Simsun" w:eastAsia="宋体" w:hAnsi="Simsun" w:cs="宋体"/>
                <w:color w:val="000000"/>
                <w:kern w:val="0"/>
                <w:szCs w:val="21"/>
              </w:rPr>
              <w:br/>
            </w:r>
            <w:r w:rsidRPr="006B590B">
              <w:rPr>
                <w:rFonts w:ascii="Simsun" w:eastAsia="宋体" w:hAnsi="Simsun" w:cs="宋体"/>
                <w:color w:val="000000"/>
                <w:kern w:val="0"/>
                <w:szCs w:val="21"/>
              </w:rPr>
              <w:t>政部</w:t>
            </w:r>
          </w:p>
        </w:tc>
        <w:tc>
          <w:tcPr>
            <w:tcW w:w="186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2015</w:t>
            </w:r>
            <w:r w:rsidRPr="006B590B">
              <w:rPr>
                <w:rFonts w:ascii="宋体" w:eastAsia="宋体" w:hAnsi="宋体" w:cs="宋体"/>
                <w:color w:val="000000"/>
                <w:kern w:val="0"/>
                <w:szCs w:val="21"/>
              </w:rPr>
              <w:t>年</w:t>
            </w:r>
            <w:r w:rsidRPr="006B590B">
              <w:rPr>
                <w:rFonts w:ascii="Times New Roman" w:eastAsia="宋体" w:hAnsi="Times New Roman" w:cs="Times New Roman"/>
                <w:color w:val="000000"/>
                <w:kern w:val="0"/>
                <w:szCs w:val="21"/>
              </w:rPr>
              <w:t>3</w:t>
            </w:r>
            <w:r w:rsidRPr="006B590B">
              <w:rPr>
                <w:rFonts w:ascii="宋体" w:eastAsia="宋体" w:hAnsi="宋体" w:cs="宋体"/>
                <w:color w:val="000000"/>
                <w:kern w:val="0"/>
                <w:szCs w:val="21"/>
              </w:rPr>
              <w:t>月底</w:t>
            </w:r>
          </w:p>
        </w:tc>
      </w:tr>
      <w:tr w:rsidR="006B590B" w:rsidRPr="006B590B" w:rsidTr="006B590B">
        <w:trPr>
          <w:jc w:val="center"/>
        </w:trPr>
        <w:tc>
          <w:tcPr>
            <w:tcW w:w="661" w:type="dxa"/>
            <w:tcBorders>
              <w:top w:val="nil"/>
              <w:left w:val="single" w:sz="4" w:space="0" w:color="000000"/>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宋体:" w:eastAsia="宋体:" w:hAnsi="Simsun" w:cs="宋体" w:hint="eastAsia"/>
                <w:color w:val="000000"/>
                <w:kern w:val="0"/>
                <w:szCs w:val="21"/>
              </w:rPr>
              <w:t>9</w:t>
            </w:r>
          </w:p>
        </w:tc>
        <w:tc>
          <w:tcPr>
            <w:tcW w:w="3599"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政府使用包括中央预算内投资在内的财政性资金，支持重点领域产业投资</w:t>
            </w:r>
            <w:r w:rsidRPr="006B590B">
              <w:rPr>
                <w:rFonts w:ascii="Simsun" w:eastAsia="宋体" w:hAnsi="Simsun" w:cs="宋体"/>
                <w:color w:val="000000"/>
                <w:kern w:val="0"/>
                <w:szCs w:val="21"/>
              </w:rPr>
              <w:lastRenderedPageBreak/>
              <w:t>基金管理办法</w:t>
            </w:r>
          </w:p>
        </w:tc>
        <w:tc>
          <w:tcPr>
            <w:tcW w:w="240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lastRenderedPageBreak/>
              <w:t>发展改革委</w:t>
            </w:r>
          </w:p>
        </w:tc>
        <w:tc>
          <w:tcPr>
            <w:tcW w:w="186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2015</w:t>
            </w:r>
            <w:r w:rsidRPr="006B590B">
              <w:rPr>
                <w:rFonts w:ascii="宋体" w:eastAsia="宋体" w:hAnsi="宋体" w:cs="宋体"/>
                <w:color w:val="000000"/>
                <w:kern w:val="0"/>
                <w:szCs w:val="21"/>
              </w:rPr>
              <w:t>年</w:t>
            </w:r>
            <w:r w:rsidRPr="006B590B">
              <w:rPr>
                <w:rFonts w:ascii="Times New Roman" w:eastAsia="宋体" w:hAnsi="Times New Roman" w:cs="Times New Roman"/>
                <w:color w:val="000000"/>
                <w:kern w:val="0"/>
                <w:szCs w:val="21"/>
              </w:rPr>
              <w:t>3</w:t>
            </w:r>
            <w:r w:rsidRPr="006B590B">
              <w:rPr>
                <w:rFonts w:ascii="宋体" w:eastAsia="宋体" w:hAnsi="宋体" w:cs="宋体"/>
                <w:color w:val="000000"/>
                <w:kern w:val="0"/>
                <w:szCs w:val="21"/>
              </w:rPr>
              <w:t>月底</w:t>
            </w:r>
          </w:p>
        </w:tc>
      </w:tr>
      <w:tr w:rsidR="006B590B" w:rsidRPr="006B590B" w:rsidTr="006B590B">
        <w:trPr>
          <w:jc w:val="center"/>
        </w:trPr>
        <w:tc>
          <w:tcPr>
            <w:tcW w:w="661" w:type="dxa"/>
            <w:tcBorders>
              <w:top w:val="nil"/>
              <w:left w:val="single" w:sz="4" w:space="0" w:color="000000"/>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lastRenderedPageBreak/>
              <w:t>10</w:t>
            </w:r>
          </w:p>
        </w:tc>
        <w:tc>
          <w:tcPr>
            <w:tcW w:w="3599"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完善价格形成机制，增强重点领域建设吸引社会投资能力</w:t>
            </w:r>
          </w:p>
        </w:tc>
        <w:tc>
          <w:tcPr>
            <w:tcW w:w="240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rPr>
                <w:rFonts w:ascii="Simsun" w:eastAsia="宋体" w:hAnsi="Simsun" w:cs="宋体"/>
                <w:color w:val="000000"/>
                <w:kern w:val="0"/>
                <w:sz w:val="27"/>
                <w:szCs w:val="27"/>
              </w:rPr>
            </w:pPr>
            <w:r w:rsidRPr="006B590B">
              <w:rPr>
                <w:rFonts w:ascii="Simsun" w:eastAsia="宋体" w:hAnsi="Simsun" w:cs="宋体"/>
                <w:color w:val="000000"/>
                <w:kern w:val="0"/>
                <w:szCs w:val="21"/>
              </w:rPr>
              <w:t>发展改革委、国务院</w:t>
            </w:r>
            <w:r w:rsidRPr="006B590B">
              <w:rPr>
                <w:rFonts w:ascii="Simsun" w:eastAsia="宋体" w:hAnsi="Simsun" w:cs="宋体"/>
                <w:color w:val="000000"/>
                <w:kern w:val="0"/>
                <w:szCs w:val="21"/>
              </w:rPr>
              <w:br/>
            </w:r>
            <w:r w:rsidRPr="006B590B">
              <w:rPr>
                <w:rFonts w:ascii="Simsun" w:eastAsia="宋体" w:hAnsi="Simsun" w:cs="宋体"/>
                <w:color w:val="000000"/>
                <w:kern w:val="0"/>
                <w:szCs w:val="21"/>
              </w:rPr>
              <w:t>有关部门</w:t>
            </w:r>
          </w:p>
        </w:tc>
        <w:tc>
          <w:tcPr>
            <w:tcW w:w="1861" w:type="dxa"/>
            <w:tcBorders>
              <w:top w:val="nil"/>
              <w:left w:val="nil"/>
              <w:bottom w:val="single" w:sz="4" w:space="0" w:color="000000"/>
              <w:right w:val="single" w:sz="4" w:space="0" w:color="000000"/>
            </w:tcBorders>
            <w:vAlign w:val="center"/>
            <w:hideMark/>
          </w:tcPr>
          <w:p w:rsidR="006B590B" w:rsidRPr="006B590B" w:rsidRDefault="006B590B" w:rsidP="006B590B">
            <w:pPr>
              <w:widowControl/>
              <w:spacing w:line="482" w:lineRule="atLeast"/>
              <w:jc w:val="center"/>
              <w:rPr>
                <w:rFonts w:ascii="Simsun" w:eastAsia="宋体" w:hAnsi="Simsun" w:cs="宋体"/>
                <w:color w:val="000000"/>
                <w:kern w:val="0"/>
                <w:sz w:val="27"/>
                <w:szCs w:val="27"/>
              </w:rPr>
            </w:pPr>
            <w:r w:rsidRPr="006B590B">
              <w:rPr>
                <w:rFonts w:ascii="Simsun" w:eastAsia="宋体" w:hAnsi="Simsun" w:cs="宋体"/>
                <w:color w:val="000000"/>
                <w:kern w:val="0"/>
                <w:szCs w:val="21"/>
              </w:rPr>
              <w:t>2015</w:t>
            </w:r>
            <w:r w:rsidRPr="006B590B">
              <w:rPr>
                <w:rFonts w:ascii="宋体" w:eastAsia="宋体" w:hAnsi="宋体" w:cs="宋体"/>
                <w:color w:val="000000"/>
                <w:kern w:val="0"/>
                <w:szCs w:val="21"/>
              </w:rPr>
              <w:t>年</w:t>
            </w:r>
            <w:r w:rsidRPr="006B590B">
              <w:rPr>
                <w:rFonts w:ascii="Times New Roman" w:eastAsia="宋体" w:hAnsi="Times New Roman" w:cs="Times New Roman"/>
                <w:color w:val="000000"/>
                <w:kern w:val="0"/>
                <w:szCs w:val="21"/>
              </w:rPr>
              <w:t>3</w:t>
            </w:r>
            <w:r w:rsidRPr="006B590B">
              <w:rPr>
                <w:rFonts w:ascii="宋体" w:eastAsia="宋体" w:hAnsi="宋体" w:cs="宋体"/>
                <w:color w:val="000000"/>
                <w:kern w:val="0"/>
                <w:szCs w:val="21"/>
              </w:rPr>
              <w:t>月底</w:t>
            </w:r>
          </w:p>
        </w:tc>
      </w:tr>
    </w:tbl>
    <w:p w:rsidR="006B590B" w:rsidRPr="006B590B" w:rsidRDefault="006B590B" w:rsidP="006B590B">
      <w:pPr>
        <w:widowControl/>
        <w:spacing w:after="201" w:line="482" w:lineRule="atLeast"/>
        <w:jc w:val="left"/>
        <w:rPr>
          <w:rFonts w:ascii="Simsun" w:eastAsia="宋体" w:hAnsi="Simsun" w:cs="宋体"/>
          <w:color w:val="000000"/>
          <w:kern w:val="0"/>
          <w:sz w:val="27"/>
          <w:szCs w:val="27"/>
        </w:rPr>
      </w:pPr>
      <w:r w:rsidRPr="006B590B">
        <w:rPr>
          <w:rFonts w:ascii="Simsun" w:eastAsia="宋体" w:hAnsi="Simsun" w:cs="宋体"/>
          <w:color w:val="000000"/>
          <w:kern w:val="0"/>
          <w:sz w:val="27"/>
          <w:szCs w:val="27"/>
        </w:rPr>
        <w:t xml:space="preserve">　　注：有</w:t>
      </w:r>
      <w:r w:rsidRPr="006B590B">
        <w:rPr>
          <w:rFonts w:ascii="Simsun" w:eastAsia="宋体" w:hAnsi="Simsun" w:cs="宋体"/>
          <w:color w:val="000000"/>
          <w:kern w:val="0"/>
          <w:sz w:val="27"/>
          <w:szCs w:val="27"/>
        </w:rPr>
        <w:t>2</w:t>
      </w:r>
      <w:r w:rsidRPr="006B590B">
        <w:rPr>
          <w:rFonts w:ascii="Simsun" w:eastAsia="宋体" w:hAnsi="Simsun" w:cs="宋体"/>
          <w:color w:val="000000"/>
          <w:kern w:val="0"/>
          <w:sz w:val="27"/>
          <w:szCs w:val="27"/>
        </w:rPr>
        <w:t>个或以上负责单位的，排在第一位的为牵头单位。</w:t>
      </w:r>
    </w:p>
    <w:p w:rsidR="00DF0656" w:rsidRPr="006B590B" w:rsidRDefault="006B590B"/>
    <w:sectPr w:rsidR="00DF0656" w:rsidRPr="006B590B" w:rsidSect="001031C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宋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B590B"/>
    <w:rsid w:val="001031C7"/>
    <w:rsid w:val="006B590B"/>
    <w:rsid w:val="0098624F"/>
    <w:rsid w:val="00F12E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1C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590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B590B"/>
    <w:rPr>
      <w:b/>
      <w:bCs/>
    </w:rPr>
  </w:style>
  <w:style w:type="paragraph" w:customStyle="1" w:styleId="p0">
    <w:name w:val="p0"/>
    <w:basedOn w:val="a"/>
    <w:rsid w:val="006B590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5758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1112</Words>
  <Characters>6345</Characters>
  <Application>Microsoft Office Word</Application>
  <DocSecurity>0</DocSecurity>
  <Lines>52</Lines>
  <Paragraphs>14</Paragraphs>
  <ScaleCrop>false</ScaleCrop>
  <Company>iTianKong.com</Company>
  <LinksUpToDate>false</LinksUpToDate>
  <CharactersWithSpaces>7443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2016-09-27T08:33:00Z</dcterms:created>
  <dcterms:modified xsi:type="dcterms:W3CDTF">2016-09-27T08:33:00Z</dcterms:modified>
</cp:coreProperties>
</file>